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Mkatabulky"/>
        <w:tblpPr w:leftFromText="141" w:rightFromText="141" w:vertAnchor="text" w:horzAnchor="margin" w:tblpY="222"/>
        <w:tblW w:w="0" w:type="auto"/>
        <w:tblLook w:val="04A0"/>
      </w:tblPr>
      <w:tblGrid>
        <w:gridCol w:w="9212"/>
      </w:tblGrid>
      <w:tr w:rsidR="00D43E0A" w:rsidRPr="00D23AFA" w:rsidTr="00A47A46">
        <w:tc>
          <w:tcPr>
            <w:tcW w:w="9212" w:type="dxa"/>
            <w:shd w:val="clear" w:color="auto" w:fill="D9D9D9" w:themeFill="background1" w:themeFillShade="D9"/>
          </w:tcPr>
          <w:p w:rsidR="00D23AFA" w:rsidRPr="00D23AFA" w:rsidRDefault="00D23AFA" w:rsidP="00A47A46">
            <w:pPr>
              <w:shd w:val="clear" w:color="auto" w:fill="D9D9D9" w:themeFill="background1" w:themeFillShade="D9"/>
              <w:jc w:val="center"/>
              <w:rPr>
                <w:rFonts w:ascii="Arial" w:hAnsi="Arial" w:cs="Arial"/>
                <w:b/>
                <w:caps/>
                <w:sz w:val="20"/>
                <w:szCs w:val="20"/>
                <w:lang w:val="en-GB"/>
              </w:rPr>
            </w:pPr>
            <w:r w:rsidRPr="00D23AFA">
              <w:rPr>
                <w:rFonts w:ascii="Arial" w:hAnsi="Arial" w:cs="Arial"/>
                <w:b/>
                <w:caps/>
                <w:sz w:val="20"/>
                <w:szCs w:val="20"/>
                <w:lang w:val="en-GB"/>
              </w:rPr>
              <w:t>TENDER DOCUMENTATION FOR PUBLIC CONTRACT</w:t>
            </w:r>
          </w:p>
          <w:p w:rsidR="00D23AFA" w:rsidRPr="00D23AFA" w:rsidRDefault="00D23AFA" w:rsidP="00A47A46">
            <w:pPr>
              <w:shd w:val="clear" w:color="auto" w:fill="D9D9D9" w:themeFill="background1" w:themeFillShade="D9"/>
              <w:jc w:val="center"/>
              <w:rPr>
                <w:rFonts w:ascii="Arial" w:hAnsi="Arial" w:cs="Arial"/>
                <w:b/>
                <w:caps/>
                <w:sz w:val="20"/>
                <w:szCs w:val="20"/>
                <w:lang w:val="en-GB"/>
              </w:rPr>
            </w:pPr>
            <w:r w:rsidRPr="00D23AFA">
              <w:rPr>
                <w:rFonts w:ascii="Arial" w:hAnsi="Arial" w:cs="Arial"/>
                <w:b/>
                <w:caps/>
                <w:sz w:val="20"/>
                <w:szCs w:val="20"/>
                <w:lang w:val="en-GB"/>
              </w:rPr>
              <w:t>AWARDED BY § 12 paragraph 3 of Act No. 137/2006 Coll., On public procurement,</w:t>
            </w:r>
          </w:p>
          <w:p w:rsidR="00D23AFA" w:rsidRPr="00D23AFA" w:rsidRDefault="00D23AFA" w:rsidP="00A47A46">
            <w:pPr>
              <w:shd w:val="clear" w:color="auto" w:fill="D9D9D9" w:themeFill="background1" w:themeFillShade="D9"/>
              <w:jc w:val="center"/>
              <w:rPr>
                <w:rFonts w:ascii="Arial" w:hAnsi="Arial" w:cs="Arial"/>
                <w:b/>
                <w:caps/>
                <w:sz w:val="20"/>
                <w:szCs w:val="20"/>
                <w:lang w:val="en-GB"/>
              </w:rPr>
            </w:pPr>
            <w:r w:rsidRPr="00D23AFA">
              <w:rPr>
                <w:rFonts w:ascii="Arial" w:hAnsi="Arial" w:cs="Arial"/>
                <w:b/>
                <w:caps/>
                <w:sz w:val="20"/>
                <w:szCs w:val="20"/>
                <w:lang w:val="en-GB"/>
              </w:rPr>
              <w:t>AS AMENDED (THE "ACT")</w:t>
            </w:r>
          </w:p>
          <w:p w:rsidR="00D43E0A" w:rsidRPr="00D23AFA" w:rsidRDefault="00D23AFA" w:rsidP="00A47A46">
            <w:pPr>
              <w:shd w:val="clear" w:color="auto" w:fill="D9D9D9" w:themeFill="background1" w:themeFillShade="D9"/>
              <w:jc w:val="center"/>
              <w:rPr>
                <w:rFonts w:ascii="Arial" w:hAnsi="Arial" w:cs="Arial"/>
                <w:b/>
                <w:caps/>
                <w:sz w:val="20"/>
                <w:szCs w:val="20"/>
                <w:lang w:val="en-GB"/>
              </w:rPr>
            </w:pPr>
            <w:r w:rsidRPr="00D23AFA">
              <w:rPr>
                <w:rFonts w:ascii="Arial" w:hAnsi="Arial" w:cs="Arial"/>
                <w:b/>
                <w:caps/>
                <w:sz w:val="20"/>
                <w:szCs w:val="20"/>
                <w:lang w:val="en-GB"/>
              </w:rPr>
              <w:t xml:space="preserve">The tender for the  small-scale PUBLIC contract </w:t>
            </w:r>
          </w:p>
        </w:tc>
      </w:tr>
    </w:tbl>
    <w:p w:rsidR="00D23AFA" w:rsidRPr="00D23AFA" w:rsidRDefault="00D23AFA" w:rsidP="00D23AFA">
      <w:pPr>
        <w:autoSpaceDE w:val="0"/>
        <w:autoSpaceDN w:val="0"/>
        <w:adjustRightInd w:val="0"/>
        <w:spacing w:after="240"/>
        <w:rPr>
          <w:rFonts w:ascii="Arial" w:hAnsi="Arial" w:cs="Arial"/>
          <w:b/>
          <w:bCs/>
          <w:sz w:val="20"/>
          <w:szCs w:val="20"/>
          <w:lang w:val="en-GB"/>
        </w:rPr>
      </w:pPr>
    </w:p>
    <w:p w:rsidR="00D23AFA" w:rsidRPr="00D23AFA" w:rsidRDefault="00D23AFA" w:rsidP="00D23AFA">
      <w:pPr>
        <w:autoSpaceDE w:val="0"/>
        <w:autoSpaceDN w:val="0"/>
        <w:adjustRightInd w:val="0"/>
        <w:spacing w:after="240"/>
        <w:rPr>
          <w:rFonts w:ascii="Arial" w:hAnsi="Arial" w:cs="Arial"/>
          <w:bCs/>
          <w:sz w:val="20"/>
          <w:szCs w:val="20"/>
          <w:lang w:val="en-GB"/>
        </w:rPr>
      </w:pPr>
      <w:r w:rsidRPr="00D23AFA">
        <w:rPr>
          <w:rFonts w:ascii="Arial" w:hAnsi="Arial" w:cs="Arial"/>
          <w:b/>
          <w:bCs/>
          <w:sz w:val="20"/>
          <w:szCs w:val="20"/>
          <w:lang w:val="en-GB"/>
        </w:rPr>
        <w:t>Project title:</w:t>
      </w:r>
      <w:r w:rsidRPr="00D23AFA">
        <w:rPr>
          <w:rFonts w:ascii="Arial" w:hAnsi="Arial" w:cs="Arial"/>
          <w:bCs/>
          <w:sz w:val="20"/>
          <w:szCs w:val="20"/>
          <w:lang w:val="en-GB"/>
        </w:rPr>
        <w:t xml:space="preserve"> </w:t>
      </w:r>
      <w:proofErr w:type="spellStart"/>
      <w:r w:rsidR="00CB7A8D">
        <w:rPr>
          <w:rFonts w:ascii="Arial" w:hAnsi="Arial" w:cs="Arial"/>
          <w:b/>
          <w:sz w:val="20"/>
          <w:szCs w:val="20"/>
          <w:lang w:val="en-GB"/>
        </w:rPr>
        <w:t>Rozvoj</w:t>
      </w:r>
      <w:proofErr w:type="spellEnd"/>
      <w:r w:rsidR="00CB7A8D">
        <w:rPr>
          <w:rFonts w:ascii="Arial" w:hAnsi="Arial" w:cs="Arial"/>
          <w:b/>
          <w:sz w:val="20"/>
          <w:szCs w:val="20"/>
          <w:lang w:val="en-GB"/>
        </w:rPr>
        <w:t xml:space="preserve"> </w:t>
      </w:r>
      <w:proofErr w:type="spellStart"/>
      <w:r w:rsidR="00CB7A8D">
        <w:rPr>
          <w:rFonts w:ascii="Arial" w:hAnsi="Arial" w:cs="Arial"/>
          <w:b/>
          <w:sz w:val="20"/>
          <w:szCs w:val="20"/>
          <w:lang w:val="en-GB"/>
        </w:rPr>
        <w:t>PřF</w:t>
      </w:r>
      <w:proofErr w:type="spellEnd"/>
    </w:p>
    <w:p w:rsidR="00CB7A8D" w:rsidRDefault="00D23AFA" w:rsidP="00D23AFA">
      <w:pPr>
        <w:spacing w:after="240"/>
        <w:ind w:right="140"/>
        <w:rPr>
          <w:rFonts w:ascii="Arial" w:hAnsi="Arial" w:cs="Arial"/>
          <w:sz w:val="20"/>
          <w:szCs w:val="20"/>
          <w:lang w:val="en-GB"/>
        </w:rPr>
      </w:pPr>
      <w:r w:rsidRPr="00D23AFA">
        <w:rPr>
          <w:rFonts w:ascii="Arial" w:hAnsi="Arial" w:cs="Arial"/>
          <w:b/>
          <w:bCs/>
          <w:sz w:val="20"/>
          <w:szCs w:val="20"/>
          <w:lang w:val="en-GB"/>
        </w:rPr>
        <w:t>Registration number of the project:</w:t>
      </w:r>
      <w:r w:rsidRPr="00D23AFA">
        <w:rPr>
          <w:rFonts w:ascii="Arial" w:hAnsi="Arial" w:cs="Arial"/>
          <w:bCs/>
          <w:sz w:val="20"/>
          <w:szCs w:val="20"/>
          <w:lang w:val="en-GB"/>
        </w:rPr>
        <w:t xml:space="preserve"> </w:t>
      </w:r>
      <w:r w:rsidR="00CB7A8D" w:rsidRPr="00CB7A8D">
        <w:rPr>
          <w:rFonts w:ascii="Arial" w:hAnsi="Arial" w:cs="Arial"/>
          <w:b/>
          <w:sz w:val="20"/>
          <w:szCs w:val="20"/>
        </w:rPr>
        <w:t>CZ.1.05/4.1.00/04.0155</w:t>
      </w:r>
    </w:p>
    <w:p w:rsidR="00D43E0A" w:rsidRPr="00D23AFA" w:rsidRDefault="00D23AFA" w:rsidP="00D23AFA">
      <w:pPr>
        <w:spacing w:after="240"/>
        <w:ind w:right="140"/>
        <w:rPr>
          <w:rFonts w:ascii="Arial" w:hAnsi="Arial" w:cs="Arial"/>
          <w:sz w:val="20"/>
          <w:szCs w:val="20"/>
          <w:lang w:val="en-GB"/>
        </w:rPr>
      </w:pPr>
      <w:r>
        <w:rPr>
          <w:rFonts w:ascii="Arial" w:hAnsi="Arial" w:cs="Arial"/>
          <w:b/>
          <w:bCs/>
          <w:sz w:val="20"/>
          <w:szCs w:val="20"/>
          <w:lang w:val="en-GB"/>
        </w:rPr>
        <w:t>Operational Programme</w:t>
      </w:r>
      <w:r w:rsidRPr="00D23AFA">
        <w:rPr>
          <w:rFonts w:ascii="Arial" w:hAnsi="Arial" w:cs="Arial"/>
          <w:b/>
          <w:bCs/>
          <w:sz w:val="20"/>
          <w:szCs w:val="20"/>
          <w:lang w:val="en-GB"/>
        </w:rPr>
        <w:t>:</w:t>
      </w:r>
      <w:r w:rsidRPr="00D23AFA">
        <w:rPr>
          <w:rFonts w:ascii="Arial" w:hAnsi="Arial" w:cs="Arial"/>
          <w:bCs/>
          <w:sz w:val="20"/>
          <w:szCs w:val="20"/>
          <w:lang w:val="en-GB"/>
        </w:rPr>
        <w:t xml:space="preserve"> </w:t>
      </w:r>
      <w:r w:rsidRPr="00D23AFA">
        <w:rPr>
          <w:rFonts w:ascii="Arial" w:hAnsi="Arial" w:cs="Arial"/>
          <w:sz w:val="20"/>
          <w:szCs w:val="20"/>
          <w:lang w:val="en-GB"/>
        </w:rPr>
        <w:t>Operational Programme Research and Development for Innovation</w:t>
      </w:r>
    </w:p>
    <w:tbl>
      <w:tblPr>
        <w:tblStyle w:val="Mkatabulky"/>
        <w:tblW w:w="0" w:type="auto"/>
        <w:tblLook w:val="04A0"/>
      </w:tblPr>
      <w:tblGrid>
        <w:gridCol w:w="2943"/>
        <w:gridCol w:w="6269"/>
      </w:tblGrid>
      <w:tr w:rsidR="00D43E0A" w:rsidRPr="00D23AFA" w:rsidTr="00A47A46">
        <w:tc>
          <w:tcPr>
            <w:tcW w:w="2943" w:type="dxa"/>
            <w:shd w:val="clear" w:color="auto" w:fill="D9D9D9" w:themeFill="background1" w:themeFillShade="D9"/>
          </w:tcPr>
          <w:p w:rsidR="00D43E0A" w:rsidRPr="00D23AFA" w:rsidRDefault="00D43E0A" w:rsidP="00E33384">
            <w:pPr>
              <w:tabs>
                <w:tab w:val="left" w:pos="1560"/>
                <w:tab w:val="left" w:pos="3402"/>
              </w:tabs>
              <w:spacing w:before="240"/>
              <w:rPr>
                <w:rFonts w:ascii="Arial" w:hAnsi="Arial" w:cs="Arial"/>
                <w:sz w:val="20"/>
                <w:szCs w:val="20"/>
                <w:lang w:val="en-GB"/>
              </w:rPr>
            </w:pPr>
            <w:r w:rsidRPr="00D23AFA">
              <w:rPr>
                <w:rFonts w:ascii="Arial" w:hAnsi="Arial" w:cs="Arial"/>
                <w:sz w:val="20"/>
                <w:szCs w:val="20"/>
                <w:lang w:val="en-GB"/>
              </w:rPr>
              <w:t>Contracting authority:</w:t>
            </w:r>
          </w:p>
        </w:tc>
        <w:tc>
          <w:tcPr>
            <w:tcW w:w="6269" w:type="dxa"/>
          </w:tcPr>
          <w:p w:rsidR="00D43E0A" w:rsidRPr="00D23AFA" w:rsidRDefault="00D43E0A" w:rsidP="00E33384">
            <w:pPr>
              <w:tabs>
                <w:tab w:val="left" w:pos="1560"/>
                <w:tab w:val="left" w:pos="3402"/>
              </w:tabs>
              <w:spacing w:before="240"/>
              <w:rPr>
                <w:rFonts w:ascii="Arial" w:hAnsi="Arial" w:cs="Arial"/>
                <w:sz w:val="20"/>
                <w:szCs w:val="20"/>
                <w:lang w:val="en-GB"/>
              </w:rPr>
            </w:pPr>
            <w:proofErr w:type="spellStart"/>
            <w:r w:rsidRPr="00D23AFA">
              <w:rPr>
                <w:rFonts w:ascii="Arial" w:hAnsi="Arial" w:cs="Arial"/>
                <w:b/>
                <w:sz w:val="20"/>
                <w:szCs w:val="20"/>
                <w:lang w:val="en-GB"/>
              </w:rPr>
              <w:t>Jihočeská</w:t>
            </w:r>
            <w:proofErr w:type="spellEnd"/>
            <w:r w:rsidRPr="00D23AFA">
              <w:rPr>
                <w:rFonts w:ascii="Arial" w:hAnsi="Arial" w:cs="Arial"/>
                <w:b/>
                <w:sz w:val="20"/>
                <w:szCs w:val="20"/>
                <w:lang w:val="en-GB"/>
              </w:rPr>
              <w:t xml:space="preserve"> </w:t>
            </w:r>
            <w:proofErr w:type="spellStart"/>
            <w:r w:rsidRPr="00D23AFA">
              <w:rPr>
                <w:rFonts w:ascii="Arial" w:hAnsi="Arial" w:cs="Arial"/>
                <w:b/>
                <w:sz w:val="20"/>
                <w:szCs w:val="20"/>
                <w:lang w:val="en-GB"/>
              </w:rPr>
              <w:t>univerzita</w:t>
            </w:r>
            <w:proofErr w:type="spellEnd"/>
            <w:r w:rsidRPr="00D23AFA">
              <w:rPr>
                <w:rFonts w:ascii="Arial" w:hAnsi="Arial" w:cs="Arial"/>
                <w:b/>
                <w:sz w:val="20"/>
                <w:szCs w:val="20"/>
                <w:lang w:val="en-GB"/>
              </w:rPr>
              <w:t xml:space="preserve"> v </w:t>
            </w:r>
            <w:proofErr w:type="spellStart"/>
            <w:r w:rsidRPr="00D23AFA">
              <w:rPr>
                <w:rFonts w:ascii="Arial" w:hAnsi="Arial" w:cs="Arial"/>
                <w:b/>
                <w:sz w:val="20"/>
                <w:szCs w:val="20"/>
                <w:lang w:val="en-GB"/>
              </w:rPr>
              <w:t>Českých</w:t>
            </w:r>
            <w:proofErr w:type="spellEnd"/>
            <w:r w:rsidRPr="00D23AFA">
              <w:rPr>
                <w:rFonts w:ascii="Arial" w:hAnsi="Arial" w:cs="Arial"/>
                <w:b/>
                <w:sz w:val="20"/>
                <w:szCs w:val="20"/>
                <w:lang w:val="en-GB"/>
              </w:rPr>
              <w:t xml:space="preserve"> </w:t>
            </w:r>
            <w:proofErr w:type="spellStart"/>
            <w:r w:rsidRPr="00D23AFA">
              <w:rPr>
                <w:rFonts w:ascii="Arial" w:hAnsi="Arial" w:cs="Arial"/>
                <w:b/>
                <w:sz w:val="20"/>
                <w:szCs w:val="20"/>
                <w:lang w:val="en-GB"/>
              </w:rPr>
              <w:t>Budějovicích</w:t>
            </w:r>
            <w:proofErr w:type="spellEnd"/>
            <w:r w:rsidRPr="00D23AFA">
              <w:rPr>
                <w:rFonts w:ascii="Arial" w:hAnsi="Arial" w:cs="Arial"/>
                <w:b/>
                <w:sz w:val="20"/>
                <w:szCs w:val="20"/>
                <w:lang w:val="en-GB"/>
              </w:rPr>
              <w:t xml:space="preserve">, “The University of South Bohemia in Č.B.”   </w:t>
            </w:r>
          </w:p>
        </w:tc>
      </w:tr>
      <w:tr w:rsidR="00D43E0A" w:rsidRPr="00D23AFA" w:rsidTr="00A47A46">
        <w:trPr>
          <w:trHeight w:val="64"/>
        </w:trPr>
        <w:tc>
          <w:tcPr>
            <w:tcW w:w="2943" w:type="dxa"/>
            <w:shd w:val="clear" w:color="auto" w:fill="D9D9D9" w:themeFill="background1" w:themeFillShade="D9"/>
          </w:tcPr>
          <w:p w:rsidR="00D43E0A" w:rsidRPr="00D23AFA" w:rsidRDefault="00D43E0A" w:rsidP="00E33384">
            <w:pPr>
              <w:tabs>
                <w:tab w:val="left" w:pos="1560"/>
                <w:tab w:val="left" w:pos="3402"/>
              </w:tabs>
              <w:spacing w:before="240"/>
              <w:rPr>
                <w:rFonts w:ascii="Arial" w:hAnsi="Arial" w:cs="Arial"/>
                <w:sz w:val="20"/>
                <w:szCs w:val="20"/>
                <w:lang w:val="en-GB"/>
              </w:rPr>
            </w:pPr>
            <w:r w:rsidRPr="00D23AFA">
              <w:rPr>
                <w:rFonts w:ascii="Arial" w:hAnsi="Arial" w:cs="Arial"/>
                <w:sz w:val="20"/>
                <w:szCs w:val="20"/>
                <w:lang w:val="en-GB"/>
              </w:rPr>
              <w:t>Represented by:</w:t>
            </w:r>
          </w:p>
        </w:tc>
        <w:tc>
          <w:tcPr>
            <w:tcW w:w="6269" w:type="dxa"/>
          </w:tcPr>
          <w:p w:rsidR="00D43E0A" w:rsidRPr="00D23AFA" w:rsidRDefault="00D43E0A" w:rsidP="00E33384">
            <w:pPr>
              <w:tabs>
                <w:tab w:val="left" w:pos="1560"/>
                <w:tab w:val="left" w:pos="3402"/>
              </w:tabs>
              <w:spacing w:before="240"/>
              <w:rPr>
                <w:rFonts w:ascii="Arial" w:hAnsi="Arial" w:cs="Arial"/>
                <w:sz w:val="20"/>
                <w:szCs w:val="20"/>
                <w:lang w:val="en-GB"/>
              </w:rPr>
            </w:pPr>
            <w:r w:rsidRPr="00D23AFA">
              <w:rPr>
                <w:rFonts w:ascii="Arial" w:hAnsi="Arial" w:cs="Arial"/>
                <w:sz w:val="20"/>
                <w:szCs w:val="20"/>
                <w:lang w:val="en-GB"/>
              </w:rPr>
              <w:t xml:space="preserve">Ing. Hana Kropáčková, </w:t>
            </w:r>
            <w:proofErr w:type="spellStart"/>
            <w:r w:rsidRPr="00D23AFA">
              <w:rPr>
                <w:rFonts w:ascii="Arial" w:hAnsi="Arial" w:cs="Arial"/>
                <w:sz w:val="20"/>
                <w:szCs w:val="20"/>
                <w:lang w:val="en-GB"/>
              </w:rPr>
              <w:t>Quaestor</w:t>
            </w:r>
            <w:proofErr w:type="spellEnd"/>
            <w:r w:rsidRPr="00D23AFA">
              <w:rPr>
                <w:rFonts w:ascii="Arial" w:hAnsi="Arial" w:cs="Arial"/>
                <w:sz w:val="20"/>
                <w:szCs w:val="20"/>
                <w:lang w:val="en-GB"/>
              </w:rPr>
              <w:t xml:space="preserve">    </w:t>
            </w:r>
            <w:r w:rsidRPr="00D23AFA">
              <w:rPr>
                <w:rFonts w:ascii="Arial" w:hAnsi="Arial" w:cs="Arial"/>
                <w:b/>
                <w:sz w:val="20"/>
                <w:szCs w:val="20"/>
                <w:lang w:val="en-GB"/>
              </w:rPr>
              <w:t xml:space="preserve"> </w:t>
            </w:r>
          </w:p>
        </w:tc>
      </w:tr>
      <w:tr w:rsidR="00D43E0A" w:rsidRPr="00D23AFA" w:rsidTr="00A47A46">
        <w:tc>
          <w:tcPr>
            <w:tcW w:w="2943" w:type="dxa"/>
            <w:shd w:val="clear" w:color="auto" w:fill="D9D9D9" w:themeFill="background1" w:themeFillShade="D9"/>
          </w:tcPr>
          <w:p w:rsidR="00D43E0A" w:rsidRPr="00D23AFA" w:rsidRDefault="00D43E0A" w:rsidP="00E33384">
            <w:pPr>
              <w:tabs>
                <w:tab w:val="left" w:pos="1560"/>
                <w:tab w:val="left" w:pos="3402"/>
              </w:tabs>
              <w:spacing w:before="240"/>
              <w:rPr>
                <w:rFonts w:ascii="Arial" w:hAnsi="Arial" w:cs="Arial"/>
                <w:sz w:val="20"/>
                <w:szCs w:val="20"/>
                <w:lang w:val="en-GB"/>
              </w:rPr>
            </w:pPr>
            <w:r w:rsidRPr="00D23AFA">
              <w:rPr>
                <w:rFonts w:ascii="Arial" w:hAnsi="Arial" w:cs="Arial"/>
                <w:sz w:val="20"/>
                <w:szCs w:val="20"/>
                <w:lang w:val="en-GB"/>
              </w:rPr>
              <w:t>Address:</w:t>
            </w:r>
          </w:p>
        </w:tc>
        <w:tc>
          <w:tcPr>
            <w:tcW w:w="6269" w:type="dxa"/>
          </w:tcPr>
          <w:p w:rsidR="00D43E0A" w:rsidRPr="00D23AFA" w:rsidRDefault="00D43E0A" w:rsidP="00E33384">
            <w:pPr>
              <w:tabs>
                <w:tab w:val="left" w:pos="1560"/>
                <w:tab w:val="left" w:pos="3402"/>
              </w:tabs>
              <w:spacing w:before="240"/>
              <w:rPr>
                <w:rFonts w:ascii="Arial" w:hAnsi="Arial" w:cs="Arial"/>
                <w:sz w:val="20"/>
                <w:szCs w:val="20"/>
                <w:lang w:val="en-GB"/>
              </w:rPr>
            </w:pPr>
            <w:proofErr w:type="spellStart"/>
            <w:r w:rsidRPr="00D23AFA">
              <w:rPr>
                <w:rFonts w:ascii="Arial" w:hAnsi="Arial" w:cs="Arial"/>
                <w:sz w:val="20"/>
                <w:szCs w:val="20"/>
                <w:lang w:val="en-GB"/>
              </w:rPr>
              <w:t>Branišovská</w:t>
            </w:r>
            <w:proofErr w:type="spellEnd"/>
            <w:r w:rsidRPr="00D23AFA">
              <w:rPr>
                <w:rFonts w:ascii="Arial" w:hAnsi="Arial" w:cs="Arial"/>
                <w:sz w:val="20"/>
                <w:szCs w:val="20"/>
                <w:lang w:val="en-GB"/>
              </w:rPr>
              <w:t xml:space="preserve"> 1645/31a, 370 05 </w:t>
            </w:r>
            <w:proofErr w:type="spellStart"/>
            <w:r w:rsidRPr="00D23AFA">
              <w:rPr>
                <w:rFonts w:ascii="Arial" w:hAnsi="Arial" w:cs="Arial"/>
                <w:sz w:val="20"/>
                <w:szCs w:val="20"/>
                <w:lang w:val="en-GB"/>
              </w:rPr>
              <w:t>České</w:t>
            </w:r>
            <w:proofErr w:type="spellEnd"/>
            <w:r w:rsidRPr="00D23AFA">
              <w:rPr>
                <w:rFonts w:ascii="Arial" w:hAnsi="Arial" w:cs="Arial"/>
                <w:sz w:val="20"/>
                <w:szCs w:val="20"/>
                <w:lang w:val="en-GB"/>
              </w:rPr>
              <w:t xml:space="preserve"> </w:t>
            </w:r>
            <w:proofErr w:type="spellStart"/>
            <w:r w:rsidRPr="00D23AFA">
              <w:rPr>
                <w:rFonts w:ascii="Arial" w:hAnsi="Arial" w:cs="Arial"/>
                <w:sz w:val="20"/>
                <w:szCs w:val="20"/>
                <w:lang w:val="en-GB"/>
              </w:rPr>
              <w:t>Budějovice</w:t>
            </w:r>
            <w:proofErr w:type="spellEnd"/>
            <w:r w:rsidRPr="00D23AFA">
              <w:rPr>
                <w:rFonts w:ascii="Arial" w:hAnsi="Arial" w:cs="Arial"/>
                <w:sz w:val="20"/>
                <w:szCs w:val="20"/>
                <w:lang w:val="en-GB"/>
              </w:rPr>
              <w:t xml:space="preserve">                                                                                                              </w:t>
            </w:r>
          </w:p>
        </w:tc>
      </w:tr>
      <w:tr w:rsidR="00D43E0A" w:rsidRPr="00D23AFA" w:rsidTr="00A47A46">
        <w:tc>
          <w:tcPr>
            <w:tcW w:w="2943" w:type="dxa"/>
            <w:shd w:val="clear" w:color="auto" w:fill="D9D9D9" w:themeFill="background1" w:themeFillShade="D9"/>
          </w:tcPr>
          <w:p w:rsidR="00D43E0A" w:rsidRPr="00D23AFA" w:rsidRDefault="00D43E0A" w:rsidP="00E33384">
            <w:pPr>
              <w:tabs>
                <w:tab w:val="left" w:pos="1560"/>
                <w:tab w:val="left" w:pos="3402"/>
              </w:tabs>
              <w:spacing w:before="240"/>
              <w:rPr>
                <w:rFonts w:ascii="Arial" w:hAnsi="Arial" w:cs="Arial"/>
                <w:sz w:val="20"/>
                <w:szCs w:val="20"/>
                <w:lang w:val="en-GB"/>
              </w:rPr>
            </w:pPr>
            <w:r w:rsidRPr="00D23AFA">
              <w:rPr>
                <w:rFonts w:ascii="Arial" w:hAnsi="Arial" w:cs="Arial"/>
                <w:sz w:val="20"/>
                <w:szCs w:val="20"/>
                <w:lang w:val="en-GB"/>
              </w:rPr>
              <w:t xml:space="preserve">Company </w:t>
            </w:r>
            <w:proofErr w:type="spellStart"/>
            <w:r w:rsidRPr="00D23AFA">
              <w:rPr>
                <w:rFonts w:ascii="Arial" w:hAnsi="Arial" w:cs="Arial"/>
                <w:sz w:val="20"/>
                <w:szCs w:val="20"/>
                <w:lang w:val="en-GB"/>
              </w:rPr>
              <w:t>Reg.Number</w:t>
            </w:r>
            <w:proofErr w:type="spellEnd"/>
            <w:r w:rsidRPr="00D23AFA">
              <w:rPr>
                <w:rFonts w:ascii="Arial" w:hAnsi="Arial" w:cs="Arial"/>
                <w:sz w:val="20"/>
                <w:szCs w:val="20"/>
                <w:lang w:val="en-GB"/>
              </w:rPr>
              <w:t>:</w:t>
            </w:r>
          </w:p>
        </w:tc>
        <w:tc>
          <w:tcPr>
            <w:tcW w:w="6269" w:type="dxa"/>
          </w:tcPr>
          <w:p w:rsidR="00D43E0A" w:rsidRPr="00D23AFA" w:rsidRDefault="00D43E0A" w:rsidP="00E33384">
            <w:pPr>
              <w:tabs>
                <w:tab w:val="left" w:pos="1560"/>
                <w:tab w:val="left" w:pos="3402"/>
              </w:tabs>
              <w:spacing w:before="240"/>
              <w:rPr>
                <w:rFonts w:ascii="Arial" w:hAnsi="Arial" w:cs="Arial"/>
                <w:sz w:val="20"/>
                <w:szCs w:val="20"/>
                <w:lang w:val="en-GB"/>
              </w:rPr>
            </w:pPr>
            <w:r w:rsidRPr="00D23AFA">
              <w:rPr>
                <w:rFonts w:ascii="Arial" w:hAnsi="Arial" w:cs="Arial"/>
                <w:sz w:val="20"/>
                <w:szCs w:val="20"/>
                <w:lang w:val="en-GB"/>
              </w:rPr>
              <w:t>60076658</w:t>
            </w:r>
          </w:p>
        </w:tc>
      </w:tr>
      <w:tr w:rsidR="00D43E0A" w:rsidRPr="00D23AFA" w:rsidTr="00A47A46">
        <w:tc>
          <w:tcPr>
            <w:tcW w:w="2943" w:type="dxa"/>
            <w:shd w:val="clear" w:color="auto" w:fill="D9D9D9" w:themeFill="background1" w:themeFillShade="D9"/>
          </w:tcPr>
          <w:p w:rsidR="00D43E0A" w:rsidRPr="00D23AFA" w:rsidRDefault="00D43E0A" w:rsidP="00D43E0A">
            <w:pPr>
              <w:tabs>
                <w:tab w:val="left" w:pos="1560"/>
                <w:tab w:val="left" w:pos="3402"/>
              </w:tabs>
              <w:spacing w:before="240"/>
              <w:rPr>
                <w:rFonts w:ascii="Arial" w:hAnsi="Arial" w:cs="Arial"/>
                <w:sz w:val="20"/>
                <w:szCs w:val="20"/>
                <w:lang w:val="en-GB"/>
              </w:rPr>
            </w:pPr>
            <w:r w:rsidRPr="00D23AFA">
              <w:rPr>
                <w:rFonts w:ascii="Arial" w:hAnsi="Arial" w:cs="Arial"/>
                <w:sz w:val="20"/>
                <w:szCs w:val="20"/>
                <w:lang w:val="en-GB"/>
              </w:rPr>
              <w:t>VAT Number:</w:t>
            </w:r>
          </w:p>
        </w:tc>
        <w:tc>
          <w:tcPr>
            <w:tcW w:w="6269" w:type="dxa"/>
          </w:tcPr>
          <w:p w:rsidR="00D43E0A" w:rsidRPr="00D23AFA" w:rsidRDefault="00D43E0A" w:rsidP="00E33384">
            <w:pPr>
              <w:tabs>
                <w:tab w:val="left" w:pos="1560"/>
                <w:tab w:val="left" w:pos="3402"/>
              </w:tabs>
              <w:spacing w:before="240"/>
              <w:rPr>
                <w:rFonts w:ascii="Arial" w:hAnsi="Arial" w:cs="Arial"/>
                <w:sz w:val="20"/>
                <w:szCs w:val="20"/>
                <w:lang w:val="en-GB"/>
              </w:rPr>
            </w:pPr>
            <w:r w:rsidRPr="00D23AFA">
              <w:rPr>
                <w:rFonts w:ascii="Arial" w:hAnsi="Arial" w:cs="Arial"/>
                <w:sz w:val="20"/>
                <w:szCs w:val="20"/>
                <w:lang w:val="en-GB"/>
              </w:rPr>
              <w:t xml:space="preserve">CZ 60076658      </w:t>
            </w:r>
          </w:p>
        </w:tc>
      </w:tr>
      <w:tr w:rsidR="00D43E0A" w:rsidRPr="00D23AFA" w:rsidTr="00A47A46">
        <w:tc>
          <w:tcPr>
            <w:tcW w:w="2943" w:type="dxa"/>
            <w:shd w:val="clear" w:color="auto" w:fill="D9D9D9" w:themeFill="background1" w:themeFillShade="D9"/>
          </w:tcPr>
          <w:p w:rsidR="00D43E0A" w:rsidRPr="00D23AFA" w:rsidRDefault="00D43E0A" w:rsidP="00D43E0A">
            <w:pPr>
              <w:tabs>
                <w:tab w:val="left" w:pos="1560"/>
                <w:tab w:val="left" w:pos="3402"/>
              </w:tabs>
              <w:spacing w:before="240"/>
              <w:rPr>
                <w:rFonts w:ascii="Arial" w:hAnsi="Arial" w:cs="Arial"/>
                <w:sz w:val="20"/>
                <w:szCs w:val="20"/>
                <w:lang w:val="en-GB"/>
              </w:rPr>
            </w:pPr>
            <w:r w:rsidRPr="00D23AFA">
              <w:rPr>
                <w:rFonts w:ascii="Arial" w:hAnsi="Arial" w:cs="Arial"/>
                <w:sz w:val="20"/>
                <w:szCs w:val="20"/>
                <w:lang w:val="en-GB"/>
              </w:rPr>
              <w:t xml:space="preserve">Bank:  </w:t>
            </w:r>
          </w:p>
        </w:tc>
        <w:tc>
          <w:tcPr>
            <w:tcW w:w="6269" w:type="dxa"/>
          </w:tcPr>
          <w:p w:rsidR="00D43E0A" w:rsidRPr="00D23AFA" w:rsidRDefault="00D43E0A" w:rsidP="00D43E0A">
            <w:pPr>
              <w:pStyle w:val="Zkladntext"/>
              <w:tabs>
                <w:tab w:val="left" w:pos="3544"/>
              </w:tabs>
              <w:ind w:left="3544" w:hanging="3544"/>
              <w:rPr>
                <w:rFonts w:ascii="Arial" w:hAnsi="Arial" w:cs="Arial"/>
                <w:sz w:val="20"/>
                <w:szCs w:val="20"/>
                <w:lang w:val="en-GB"/>
              </w:rPr>
            </w:pPr>
            <w:r w:rsidRPr="00D23AFA">
              <w:rPr>
                <w:rFonts w:ascii="Arial" w:hAnsi="Arial" w:cs="Arial"/>
                <w:sz w:val="20"/>
                <w:szCs w:val="20"/>
                <w:lang w:val="en-GB"/>
              </w:rPr>
              <w:t xml:space="preserve">ČSOB </w:t>
            </w:r>
            <w:proofErr w:type="spellStart"/>
            <w:r w:rsidRPr="00D23AFA">
              <w:rPr>
                <w:rFonts w:ascii="Arial" w:hAnsi="Arial" w:cs="Arial"/>
                <w:sz w:val="20"/>
                <w:szCs w:val="20"/>
                <w:lang w:val="en-GB"/>
              </w:rPr>
              <w:t>a.s</w:t>
            </w:r>
            <w:proofErr w:type="spellEnd"/>
            <w:r w:rsidRPr="00D23AFA">
              <w:rPr>
                <w:rFonts w:ascii="Arial" w:hAnsi="Arial" w:cs="Arial"/>
                <w:sz w:val="20"/>
                <w:szCs w:val="20"/>
                <w:lang w:val="en-GB"/>
              </w:rPr>
              <w:t xml:space="preserve">. branch of </w:t>
            </w:r>
            <w:proofErr w:type="spellStart"/>
            <w:r w:rsidRPr="00D23AFA">
              <w:rPr>
                <w:rFonts w:ascii="Arial" w:hAnsi="Arial" w:cs="Arial"/>
                <w:sz w:val="20"/>
                <w:szCs w:val="20"/>
                <w:lang w:val="en-GB"/>
              </w:rPr>
              <w:t>České</w:t>
            </w:r>
            <w:proofErr w:type="spellEnd"/>
            <w:r w:rsidRPr="00D23AFA">
              <w:rPr>
                <w:rFonts w:ascii="Arial" w:hAnsi="Arial" w:cs="Arial"/>
                <w:sz w:val="20"/>
                <w:szCs w:val="20"/>
                <w:lang w:val="en-GB"/>
              </w:rPr>
              <w:t xml:space="preserve"> </w:t>
            </w:r>
            <w:proofErr w:type="spellStart"/>
            <w:r w:rsidRPr="00D23AFA">
              <w:rPr>
                <w:rFonts w:ascii="Arial" w:hAnsi="Arial" w:cs="Arial"/>
                <w:sz w:val="20"/>
                <w:szCs w:val="20"/>
                <w:lang w:val="en-GB"/>
              </w:rPr>
              <w:t>Budějovice</w:t>
            </w:r>
            <w:proofErr w:type="spellEnd"/>
            <w:r w:rsidRPr="00D23AFA">
              <w:rPr>
                <w:rFonts w:ascii="Arial" w:hAnsi="Arial" w:cs="Arial"/>
                <w:sz w:val="20"/>
                <w:szCs w:val="20"/>
                <w:lang w:val="en-GB"/>
              </w:rPr>
              <w:t xml:space="preserve">, </w:t>
            </w:r>
          </w:p>
          <w:p w:rsidR="00D43E0A" w:rsidRPr="00D23AFA" w:rsidRDefault="00D43E0A" w:rsidP="00D43E0A">
            <w:pPr>
              <w:pStyle w:val="Zkladntext"/>
              <w:tabs>
                <w:tab w:val="left" w:pos="3544"/>
              </w:tabs>
              <w:ind w:left="3544" w:hanging="3544"/>
              <w:rPr>
                <w:rFonts w:ascii="Arial" w:hAnsi="Arial" w:cs="Arial"/>
                <w:sz w:val="20"/>
                <w:szCs w:val="20"/>
                <w:lang w:val="en-GB"/>
              </w:rPr>
            </w:pPr>
            <w:r w:rsidRPr="00D23AFA">
              <w:rPr>
                <w:rFonts w:ascii="Arial" w:hAnsi="Arial" w:cs="Arial"/>
                <w:sz w:val="20"/>
                <w:szCs w:val="20"/>
                <w:lang w:val="en-GB"/>
              </w:rPr>
              <w:t>n. a. 150976156/0300</w:t>
            </w:r>
          </w:p>
        </w:tc>
      </w:tr>
    </w:tbl>
    <w:p w:rsidR="00ED04AD" w:rsidRPr="00D23AFA" w:rsidRDefault="002A03FA" w:rsidP="00D23AFA">
      <w:pPr>
        <w:pStyle w:val="Zkladntext"/>
        <w:tabs>
          <w:tab w:val="left" w:pos="3544"/>
        </w:tabs>
        <w:ind w:left="3544" w:hanging="3544"/>
        <w:jc w:val="left"/>
        <w:rPr>
          <w:rFonts w:ascii="Arial" w:hAnsi="Arial" w:cs="Arial"/>
          <w:sz w:val="20"/>
          <w:szCs w:val="20"/>
          <w:lang w:val="en-GB"/>
        </w:rPr>
      </w:pPr>
      <w:r w:rsidRPr="00D23AFA">
        <w:rPr>
          <w:rFonts w:ascii="Arial" w:hAnsi="Arial" w:cs="Arial"/>
          <w:sz w:val="20"/>
          <w:szCs w:val="20"/>
          <w:lang w:val="en-GB"/>
        </w:rPr>
        <w:tab/>
        <w:t xml:space="preserve"> </w:t>
      </w:r>
    </w:p>
    <w:p w:rsidR="00E730C9" w:rsidRPr="00D23AFA" w:rsidRDefault="00ED04AD" w:rsidP="00B4198B">
      <w:pPr>
        <w:rPr>
          <w:rFonts w:ascii="Arial" w:hAnsi="Arial" w:cs="Arial"/>
          <w:sz w:val="20"/>
          <w:szCs w:val="20"/>
          <w:lang w:val="en-GB"/>
        </w:rPr>
      </w:pPr>
      <w:r w:rsidRPr="00D23AFA">
        <w:rPr>
          <w:rFonts w:ascii="Arial" w:hAnsi="Arial" w:cs="Arial"/>
          <w:b/>
          <w:sz w:val="20"/>
          <w:szCs w:val="20"/>
          <w:lang w:val="en-GB"/>
        </w:rPr>
        <w:t>The subject of the public contract</w:t>
      </w:r>
      <w:r w:rsidR="00B4198B" w:rsidRPr="00D23AFA">
        <w:rPr>
          <w:rFonts w:ascii="Arial" w:hAnsi="Arial" w:cs="Arial"/>
          <w:b/>
          <w:sz w:val="20"/>
          <w:szCs w:val="20"/>
          <w:lang w:val="en-GB"/>
        </w:rPr>
        <w:t xml:space="preserve">: </w:t>
      </w:r>
      <w:r w:rsidR="00BE7A9D" w:rsidRPr="00D23AFA">
        <w:rPr>
          <w:rFonts w:ascii="Arial" w:hAnsi="Arial" w:cs="Arial"/>
          <w:sz w:val="20"/>
          <w:szCs w:val="20"/>
          <w:lang w:val="en-GB"/>
        </w:rPr>
        <w:t xml:space="preserve"> </w:t>
      </w:r>
      <w:r w:rsidR="00BE7A9D" w:rsidRPr="00D23AFA">
        <w:rPr>
          <w:rFonts w:ascii="Arial" w:hAnsi="Arial" w:cs="Arial"/>
          <w:b/>
          <w:sz w:val="20"/>
          <w:szCs w:val="20"/>
          <w:lang w:val="en-GB"/>
        </w:rPr>
        <w:t xml:space="preserve">The "Upgrade" (technical evaluation) of the detection system in the </w:t>
      </w:r>
      <w:proofErr w:type="spellStart"/>
      <w:r w:rsidR="00BE7A9D" w:rsidRPr="00D23AFA">
        <w:rPr>
          <w:rFonts w:ascii="Arial" w:hAnsi="Arial" w:cs="Arial"/>
          <w:b/>
          <w:sz w:val="20"/>
          <w:szCs w:val="20"/>
          <w:lang w:val="en-GB"/>
        </w:rPr>
        <w:t>femtosecond</w:t>
      </w:r>
      <w:proofErr w:type="spellEnd"/>
      <w:r w:rsidR="00BE7A9D" w:rsidRPr="00D23AFA">
        <w:rPr>
          <w:rFonts w:ascii="Arial" w:hAnsi="Arial" w:cs="Arial"/>
          <w:b/>
          <w:sz w:val="20"/>
          <w:szCs w:val="20"/>
          <w:lang w:val="en-GB"/>
        </w:rPr>
        <w:t xml:space="preserve"> laboratory, Faculty of Science, University of South Bohemia </w:t>
      </w:r>
      <w:r w:rsidR="00BE7A9D" w:rsidRPr="00D23AFA">
        <w:rPr>
          <w:rFonts w:ascii="Arial" w:hAnsi="Arial" w:cs="Arial"/>
          <w:sz w:val="20"/>
          <w:szCs w:val="20"/>
          <w:lang w:val="en-GB"/>
        </w:rPr>
        <w:t xml:space="preserve">  </w:t>
      </w:r>
    </w:p>
    <w:p w:rsidR="00ED04AD" w:rsidRPr="00D23AFA" w:rsidRDefault="00ED04AD" w:rsidP="00ED04AD">
      <w:pPr>
        <w:pStyle w:val="Odstavecseseznamem"/>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240"/>
        <w:rPr>
          <w:rFonts w:ascii="Arial" w:hAnsi="Arial" w:cs="Arial"/>
          <w:b/>
          <w:caps/>
          <w:sz w:val="20"/>
          <w:szCs w:val="20"/>
          <w:lang w:val="en-GB"/>
        </w:rPr>
      </w:pPr>
      <w:r w:rsidRPr="00D23AFA">
        <w:rPr>
          <w:rFonts w:ascii="Arial" w:hAnsi="Arial" w:cs="Arial"/>
          <w:b/>
          <w:caps/>
          <w:sz w:val="20"/>
          <w:szCs w:val="20"/>
          <w:lang w:val="en-GB"/>
        </w:rPr>
        <w:t>The esti</w:t>
      </w:r>
      <w:r w:rsidR="00475B09" w:rsidRPr="00D23AFA">
        <w:rPr>
          <w:rFonts w:ascii="Arial" w:hAnsi="Arial" w:cs="Arial"/>
          <w:b/>
          <w:caps/>
          <w:sz w:val="20"/>
          <w:szCs w:val="20"/>
          <w:lang w:val="en-GB"/>
        </w:rPr>
        <w:t>mated value of public contrac</w:t>
      </w:r>
      <w:r w:rsidR="00E673DF" w:rsidRPr="00D23AFA">
        <w:rPr>
          <w:rFonts w:ascii="Arial" w:hAnsi="Arial" w:cs="Arial"/>
          <w:b/>
          <w:caps/>
          <w:sz w:val="20"/>
          <w:szCs w:val="20"/>
          <w:lang w:val="en-GB"/>
        </w:rPr>
        <w:t>t</w:t>
      </w:r>
    </w:p>
    <w:p w:rsidR="00E33384" w:rsidRPr="00D23AFA" w:rsidRDefault="00E33384" w:rsidP="00B4198B">
      <w:pPr>
        <w:pStyle w:val="Odstavecseseznamem"/>
        <w:spacing w:before="240"/>
        <w:ind w:left="0"/>
        <w:rPr>
          <w:rFonts w:ascii="Arial" w:hAnsi="Arial" w:cs="Arial"/>
          <w:sz w:val="20"/>
          <w:szCs w:val="20"/>
          <w:lang w:val="en-GB"/>
        </w:rPr>
      </w:pPr>
    </w:p>
    <w:p w:rsidR="00ED04AD" w:rsidRPr="00D23AFA" w:rsidRDefault="008010E9" w:rsidP="00ED04AD">
      <w:pPr>
        <w:pStyle w:val="Odstavecseseznamem"/>
        <w:spacing w:before="240"/>
        <w:ind w:left="0"/>
        <w:rPr>
          <w:rFonts w:ascii="Arial" w:hAnsi="Arial" w:cs="Arial"/>
          <w:sz w:val="20"/>
          <w:szCs w:val="20"/>
          <w:lang w:val="en-GB"/>
        </w:rPr>
      </w:pPr>
      <w:r w:rsidRPr="00D23AFA">
        <w:rPr>
          <w:rFonts w:ascii="Arial" w:hAnsi="Arial" w:cs="Arial"/>
          <w:sz w:val="20"/>
          <w:szCs w:val="20"/>
          <w:lang w:val="en-GB"/>
        </w:rPr>
        <w:t>T</w:t>
      </w:r>
      <w:r w:rsidR="00BE7A9D" w:rsidRPr="00D23AFA">
        <w:rPr>
          <w:rFonts w:ascii="Arial" w:hAnsi="Arial" w:cs="Arial"/>
          <w:sz w:val="20"/>
          <w:szCs w:val="20"/>
          <w:lang w:val="en-GB"/>
        </w:rPr>
        <w:t>he estimated value of public contract (maximum and impassable):</w:t>
      </w:r>
      <w:r w:rsidR="007B4AD1" w:rsidRPr="00C73645">
        <w:rPr>
          <w:rFonts w:ascii="Arial" w:hAnsi="Arial" w:cs="Arial"/>
          <w:b/>
          <w:sz w:val="20"/>
          <w:szCs w:val="20"/>
          <w:lang w:val="en-GB"/>
        </w:rPr>
        <w:t xml:space="preserve"> 23 </w:t>
      </w:r>
      <w:proofErr w:type="gramStart"/>
      <w:r w:rsidR="007B4AD1" w:rsidRPr="00C73645">
        <w:rPr>
          <w:rFonts w:ascii="Arial" w:hAnsi="Arial" w:cs="Arial"/>
          <w:b/>
          <w:sz w:val="20"/>
          <w:szCs w:val="20"/>
          <w:lang w:val="en-GB"/>
        </w:rPr>
        <w:t>565 ,-</w:t>
      </w:r>
      <w:proofErr w:type="gramEnd"/>
      <w:r w:rsidR="007B4AD1" w:rsidRPr="00C73645">
        <w:rPr>
          <w:rFonts w:ascii="Arial" w:hAnsi="Arial" w:cs="Arial"/>
          <w:b/>
          <w:sz w:val="20"/>
          <w:szCs w:val="20"/>
          <w:lang w:val="en-GB"/>
        </w:rPr>
        <w:t xml:space="preserve"> EUR</w:t>
      </w:r>
      <w:r w:rsidR="00855C0B">
        <w:rPr>
          <w:rFonts w:ascii="Arial" w:hAnsi="Arial" w:cs="Arial"/>
          <w:b/>
          <w:sz w:val="20"/>
          <w:szCs w:val="20"/>
          <w:lang w:val="en-GB"/>
        </w:rPr>
        <w:t xml:space="preserve"> without VAT</w:t>
      </w:r>
    </w:p>
    <w:p w:rsidR="00ED04AD" w:rsidRPr="00D23AFA" w:rsidRDefault="00BE7A9D" w:rsidP="00ED04AD">
      <w:pPr>
        <w:pStyle w:val="Odstavecseseznamem"/>
        <w:ind w:left="0"/>
        <w:rPr>
          <w:rFonts w:ascii="Arial" w:hAnsi="Arial" w:cs="Arial"/>
          <w:sz w:val="20"/>
          <w:szCs w:val="20"/>
          <w:lang w:val="en-GB"/>
        </w:rPr>
      </w:pPr>
      <w:r w:rsidRPr="00D23AFA">
        <w:rPr>
          <w:rFonts w:ascii="Arial" w:hAnsi="Arial" w:cs="Arial"/>
          <w:sz w:val="20"/>
          <w:szCs w:val="20"/>
          <w:lang w:val="en-GB"/>
        </w:rPr>
        <w:t xml:space="preserve">    </w:t>
      </w:r>
    </w:p>
    <w:p w:rsidR="00ED04AD" w:rsidRPr="00D23AFA" w:rsidRDefault="00ED04AD" w:rsidP="00ED04AD">
      <w:pPr>
        <w:pStyle w:val="Odstavecseseznamem"/>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caps/>
          <w:sz w:val="20"/>
          <w:szCs w:val="20"/>
          <w:lang w:val="en-GB"/>
        </w:rPr>
      </w:pPr>
      <w:r w:rsidRPr="00D23AFA">
        <w:rPr>
          <w:rFonts w:ascii="Arial" w:hAnsi="Arial" w:cs="Arial"/>
          <w:b/>
          <w:caps/>
          <w:sz w:val="20"/>
          <w:szCs w:val="20"/>
          <w:lang w:val="en-GB"/>
        </w:rPr>
        <w:t>The definition of the object of the public contract</w:t>
      </w:r>
    </w:p>
    <w:p w:rsidR="009D39DF" w:rsidRDefault="00425846" w:rsidP="009D39DF">
      <w:pPr>
        <w:outlineLvl w:val="0"/>
        <w:rPr>
          <w:rFonts w:ascii="Arial" w:hAnsi="Arial" w:cs="Arial"/>
          <w:sz w:val="20"/>
          <w:szCs w:val="20"/>
          <w:lang w:val="en-GB"/>
        </w:rPr>
      </w:pPr>
      <w:r w:rsidRPr="00D23AFA">
        <w:rPr>
          <w:rFonts w:ascii="Arial" w:hAnsi="Arial" w:cs="Arial"/>
          <w:sz w:val="20"/>
          <w:szCs w:val="20"/>
          <w:lang w:val="en-GB"/>
        </w:rPr>
        <w:t>The s</w:t>
      </w:r>
      <w:r w:rsidR="00ED04AD" w:rsidRPr="00D23AFA">
        <w:rPr>
          <w:rFonts w:ascii="Arial" w:hAnsi="Arial" w:cs="Arial"/>
          <w:sz w:val="20"/>
          <w:szCs w:val="20"/>
          <w:lang w:val="en-GB"/>
        </w:rPr>
        <w:t xml:space="preserve">ubject of the public contract is the supply of </w:t>
      </w:r>
      <w:r w:rsidR="00E673DF" w:rsidRPr="00D23AFA">
        <w:rPr>
          <w:rFonts w:ascii="Arial" w:hAnsi="Arial" w:cs="Arial"/>
          <w:sz w:val="20"/>
          <w:szCs w:val="20"/>
          <w:lang w:val="en-GB"/>
        </w:rPr>
        <w:t>“</w:t>
      </w:r>
      <w:r w:rsidRPr="00D23AFA">
        <w:rPr>
          <w:rFonts w:ascii="Arial" w:hAnsi="Arial" w:cs="Arial"/>
          <w:sz w:val="20"/>
          <w:szCs w:val="20"/>
          <w:lang w:val="en-GB"/>
        </w:rPr>
        <w:t>U</w:t>
      </w:r>
      <w:r w:rsidR="00ED04AD" w:rsidRPr="00D23AFA">
        <w:rPr>
          <w:rFonts w:ascii="Arial" w:hAnsi="Arial" w:cs="Arial"/>
          <w:sz w:val="20"/>
          <w:szCs w:val="20"/>
          <w:lang w:val="en-GB"/>
        </w:rPr>
        <w:t xml:space="preserve">pgrade (technical evaluation) detection system in the </w:t>
      </w:r>
      <w:proofErr w:type="spellStart"/>
      <w:r w:rsidR="00ED04AD" w:rsidRPr="00D23AFA">
        <w:rPr>
          <w:rFonts w:ascii="Arial" w:hAnsi="Arial" w:cs="Arial"/>
          <w:sz w:val="20"/>
          <w:szCs w:val="20"/>
          <w:lang w:val="en-GB"/>
        </w:rPr>
        <w:t>femtosecond</w:t>
      </w:r>
      <w:proofErr w:type="spellEnd"/>
      <w:r w:rsidR="00ED04AD" w:rsidRPr="00D23AFA">
        <w:rPr>
          <w:rFonts w:ascii="Arial" w:hAnsi="Arial" w:cs="Arial"/>
          <w:sz w:val="20"/>
          <w:szCs w:val="20"/>
          <w:lang w:val="en-GB"/>
        </w:rPr>
        <w:t xml:space="preserve"> laboratory, Faculty of Science, USB</w:t>
      </w:r>
      <w:r w:rsidR="00E673DF" w:rsidRPr="00D23AFA">
        <w:rPr>
          <w:rFonts w:ascii="Arial" w:hAnsi="Arial" w:cs="Arial"/>
          <w:sz w:val="20"/>
          <w:szCs w:val="20"/>
          <w:lang w:val="en-GB"/>
        </w:rPr>
        <w:t>”</w:t>
      </w:r>
      <w:r w:rsidR="00ED04AD" w:rsidRPr="00D23AFA">
        <w:rPr>
          <w:rFonts w:ascii="Arial" w:hAnsi="Arial" w:cs="Arial"/>
          <w:sz w:val="20"/>
          <w:szCs w:val="20"/>
          <w:lang w:val="en-GB"/>
        </w:rPr>
        <w:t xml:space="preserve">.                 </w:t>
      </w:r>
    </w:p>
    <w:p w:rsidR="009D39DF" w:rsidRPr="00D23AFA" w:rsidRDefault="009D39DF" w:rsidP="009D39DF">
      <w:pPr>
        <w:outlineLvl w:val="0"/>
        <w:rPr>
          <w:rFonts w:ascii="Arial" w:hAnsi="Arial" w:cs="Arial"/>
          <w:sz w:val="20"/>
          <w:szCs w:val="20"/>
          <w:lang w:val="en-GB"/>
        </w:rPr>
      </w:pPr>
      <w:r w:rsidRPr="00D23AFA">
        <w:rPr>
          <w:rFonts w:ascii="Arial" w:hAnsi="Arial" w:cs="Arial"/>
          <w:sz w:val="20"/>
          <w:szCs w:val="20"/>
          <w:lang w:val="en-GB"/>
        </w:rPr>
        <w:t xml:space="preserve">The subject of the public contract is the supply of Upgrade (technical improvements) of the detection system in the </w:t>
      </w:r>
      <w:proofErr w:type="spellStart"/>
      <w:r w:rsidRPr="00D23AFA">
        <w:rPr>
          <w:rFonts w:ascii="Arial" w:hAnsi="Arial" w:cs="Arial"/>
          <w:sz w:val="20"/>
          <w:szCs w:val="20"/>
          <w:lang w:val="en-GB"/>
        </w:rPr>
        <w:t>femtosecond</w:t>
      </w:r>
      <w:proofErr w:type="spellEnd"/>
      <w:r w:rsidRPr="00D23AFA">
        <w:rPr>
          <w:rFonts w:ascii="Arial" w:hAnsi="Arial" w:cs="Arial"/>
          <w:sz w:val="20"/>
          <w:szCs w:val="20"/>
          <w:lang w:val="en-GB"/>
        </w:rPr>
        <w:t xml:space="preserve"> laboratory of the Faculty of Science of the University of South Bohemia. Current detection system is based on the single-wavelength detection, when it is not possible to detect the full spectrum of broadband of </w:t>
      </w:r>
      <w:proofErr w:type="spellStart"/>
      <w:r w:rsidRPr="00D23AFA">
        <w:rPr>
          <w:rFonts w:ascii="Arial" w:hAnsi="Arial" w:cs="Arial"/>
          <w:sz w:val="20"/>
          <w:szCs w:val="20"/>
          <w:lang w:val="en-GB"/>
        </w:rPr>
        <w:t>femtosecond</w:t>
      </w:r>
      <w:proofErr w:type="spellEnd"/>
      <w:r w:rsidRPr="00D23AFA">
        <w:rPr>
          <w:rFonts w:ascii="Arial" w:hAnsi="Arial" w:cs="Arial"/>
          <w:sz w:val="20"/>
          <w:szCs w:val="20"/>
          <w:lang w:val="en-GB"/>
        </w:rPr>
        <w:t xml:space="preserve"> pulses. This limitation strongly influences our capacity of data measurement and identification. Already at the time of purchase, in 2008, the system was ready for later upgrade to broadband detection using diode arrays or CCD chips. The proposed upgrade improves dramatically our ability to measure and puts us on a par with the world’s leading laboratories that deal with this issue. Upgrading cannot be done by any other laboratory except for </w:t>
      </w:r>
      <w:proofErr w:type="spellStart"/>
      <w:r w:rsidRPr="00D23AFA">
        <w:rPr>
          <w:rFonts w:ascii="Arial" w:hAnsi="Arial" w:cs="Arial"/>
          <w:sz w:val="20"/>
          <w:szCs w:val="20"/>
          <w:lang w:val="en-GB"/>
        </w:rPr>
        <w:t>Pascher</w:t>
      </w:r>
      <w:proofErr w:type="spellEnd"/>
      <w:r w:rsidRPr="00D23AFA">
        <w:rPr>
          <w:rFonts w:ascii="Arial" w:hAnsi="Arial" w:cs="Arial"/>
          <w:sz w:val="20"/>
          <w:szCs w:val="20"/>
          <w:lang w:val="en-GB"/>
        </w:rPr>
        <w:t xml:space="preserve"> Instruments, as upgrade also includes interventions in contemporary detection system and control software, and only </w:t>
      </w:r>
      <w:proofErr w:type="spellStart"/>
      <w:r w:rsidRPr="00D23AFA">
        <w:rPr>
          <w:rFonts w:ascii="Arial" w:hAnsi="Arial" w:cs="Arial"/>
          <w:sz w:val="20"/>
          <w:szCs w:val="20"/>
          <w:lang w:val="en-GB"/>
        </w:rPr>
        <w:t>Pascher</w:t>
      </w:r>
      <w:proofErr w:type="spellEnd"/>
      <w:r w:rsidRPr="00D23AFA">
        <w:rPr>
          <w:rFonts w:ascii="Arial" w:hAnsi="Arial" w:cs="Arial"/>
          <w:sz w:val="20"/>
          <w:szCs w:val="20"/>
          <w:lang w:val="en-GB"/>
        </w:rPr>
        <w:t xml:space="preserve"> Instruments has the exclusive rights and acces</w:t>
      </w:r>
      <w:r>
        <w:rPr>
          <w:rFonts w:ascii="Arial" w:hAnsi="Arial" w:cs="Arial"/>
          <w:sz w:val="20"/>
          <w:szCs w:val="20"/>
          <w:lang w:val="en-GB"/>
        </w:rPr>
        <w:t>s to these parts of the system.</w:t>
      </w:r>
    </w:p>
    <w:p w:rsidR="009D39DF" w:rsidRPr="00D23AFA" w:rsidRDefault="009D39DF" w:rsidP="009D39DF">
      <w:pPr>
        <w:rPr>
          <w:rFonts w:ascii="Arial" w:hAnsi="Arial" w:cs="Arial"/>
          <w:sz w:val="20"/>
          <w:szCs w:val="20"/>
          <w:lang w:val="en-GB"/>
        </w:rPr>
      </w:pPr>
      <w:r w:rsidRPr="00D23AFA">
        <w:rPr>
          <w:rFonts w:ascii="Arial" w:hAnsi="Arial" w:cs="Arial"/>
          <w:sz w:val="20"/>
          <w:szCs w:val="20"/>
          <w:lang w:val="en-GB"/>
        </w:rPr>
        <w:lastRenderedPageBreak/>
        <w:t xml:space="preserve">The upgrade unambiguously requires development activities on the part of </w:t>
      </w:r>
      <w:proofErr w:type="spellStart"/>
      <w:r w:rsidRPr="00D23AFA">
        <w:rPr>
          <w:rFonts w:ascii="Arial" w:hAnsi="Arial" w:cs="Arial"/>
          <w:sz w:val="20"/>
          <w:szCs w:val="20"/>
          <w:lang w:val="en-GB"/>
        </w:rPr>
        <w:t>Pascher</w:t>
      </w:r>
      <w:proofErr w:type="spellEnd"/>
      <w:r w:rsidRPr="00D23AFA">
        <w:rPr>
          <w:rFonts w:ascii="Arial" w:hAnsi="Arial" w:cs="Arial"/>
          <w:sz w:val="20"/>
          <w:szCs w:val="20"/>
          <w:lang w:val="en-GB"/>
        </w:rPr>
        <w:t xml:space="preserve"> Instruments. The upgrade is unique from the perspective of existing technologies available and must be designed so that it is compatible with the current detection. Upgrade includes the fitting of the existing </w:t>
      </w:r>
      <w:proofErr w:type="spellStart"/>
      <w:r w:rsidRPr="00D23AFA">
        <w:rPr>
          <w:rFonts w:ascii="Arial" w:hAnsi="Arial" w:cs="Arial"/>
          <w:sz w:val="20"/>
          <w:szCs w:val="20"/>
          <w:lang w:val="en-GB"/>
        </w:rPr>
        <w:t>monochromator</w:t>
      </w:r>
      <w:proofErr w:type="spellEnd"/>
      <w:r w:rsidRPr="00D23AFA">
        <w:rPr>
          <w:rFonts w:ascii="Arial" w:hAnsi="Arial" w:cs="Arial"/>
          <w:sz w:val="20"/>
          <w:szCs w:val="20"/>
          <w:lang w:val="en-GB"/>
        </w:rPr>
        <w:t xml:space="preserve"> (Solar TII, Minsk, Belarus) with two CCD chips – this in itself requires extensive development activities, as an optical link of the output port of the </w:t>
      </w:r>
      <w:proofErr w:type="spellStart"/>
      <w:r w:rsidRPr="00D23AFA">
        <w:rPr>
          <w:rFonts w:ascii="Arial" w:hAnsi="Arial" w:cs="Arial"/>
          <w:sz w:val="20"/>
          <w:szCs w:val="20"/>
          <w:lang w:val="en-GB"/>
        </w:rPr>
        <w:t>monochromator</w:t>
      </w:r>
      <w:proofErr w:type="spellEnd"/>
      <w:r w:rsidRPr="00D23AFA">
        <w:rPr>
          <w:rFonts w:ascii="Arial" w:hAnsi="Arial" w:cs="Arial"/>
          <w:sz w:val="20"/>
          <w:szCs w:val="20"/>
          <w:lang w:val="en-GB"/>
        </w:rPr>
        <w:t xml:space="preserve"> with CCD detectors should be technically resolved.</w:t>
      </w:r>
    </w:p>
    <w:p w:rsidR="009D39DF" w:rsidRPr="00D23AFA" w:rsidRDefault="009D39DF" w:rsidP="009D39DF">
      <w:pPr>
        <w:rPr>
          <w:rFonts w:ascii="Arial" w:hAnsi="Arial" w:cs="Arial"/>
          <w:sz w:val="20"/>
          <w:szCs w:val="20"/>
          <w:lang w:val="en-GB"/>
        </w:rPr>
      </w:pPr>
      <w:r w:rsidRPr="00D23AFA">
        <w:rPr>
          <w:rFonts w:ascii="Arial" w:hAnsi="Arial" w:cs="Arial"/>
          <w:sz w:val="20"/>
          <w:szCs w:val="20"/>
          <w:lang w:val="en-GB"/>
        </w:rPr>
        <w:t xml:space="preserve">The schemes of the output port of the </w:t>
      </w:r>
      <w:proofErr w:type="spellStart"/>
      <w:r w:rsidRPr="00D23AFA">
        <w:rPr>
          <w:rFonts w:ascii="Arial" w:hAnsi="Arial" w:cs="Arial"/>
          <w:sz w:val="20"/>
          <w:szCs w:val="20"/>
          <w:lang w:val="en-GB"/>
        </w:rPr>
        <w:t>monochromator</w:t>
      </w:r>
      <w:proofErr w:type="spellEnd"/>
      <w:r w:rsidRPr="00D23AFA">
        <w:rPr>
          <w:rFonts w:ascii="Arial" w:hAnsi="Arial" w:cs="Arial"/>
          <w:sz w:val="20"/>
          <w:szCs w:val="20"/>
          <w:lang w:val="en-GB"/>
        </w:rPr>
        <w:t xml:space="preserve"> have already been sent to </w:t>
      </w:r>
      <w:proofErr w:type="spellStart"/>
      <w:r w:rsidRPr="00D23AFA">
        <w:rPr>
          <w:rFonts w:ascii="Arial" w:hAnsi="Arial" w:cs="Arial"/>
          <w:sz w:val="20"/>
          <w:szCs w:val="20"/>
          <w:lang w:val="en-GB"/>
        </w:rPr>
        <w:t>Pascher</w:t>
      </w:r>
      <w:proofErr w:type="spellEnd"/>
      <w:r w:rsidRPr="00D23AFA">
        <w:rPr>
          <w:rFonts w:ascii="Arial" w:hAnsi="Arial" w:cs="Arial"/>
          <w:sz w:val="20"/>
          <w:szCs w:val="20"/>
          <w:lang w:val="en-GB"/>
        </w:rPr>
        <w:t xml:space="preserve"> Instruments Laboratory, so that the contact between the </w:t>
      </w:r>
      <w:proofErr w:type="spellStart"/>
      <w:r w:rsidRPr="00D23AFA">
        <w:rPr>
          <w:rFonts w:ascii="Arial" w:hAnsi="Arial" w:cs="Arial"/>
          <w:sz w:val="20"/>
          <w:szCs w:val="20"/>
          <w:lang w:val="en-GB"/>
        </w:rPr>
        <w:t>monochromator</w:t>
      </w:r>
      <w:proofErr w:type="spellEnd"/>
      <w:r w:rsidRPr="00D23AFA">
        <w:rPr>
          <w:rFonts w:ascii="Arial" w:hAnsi="Arial" w:cs="Arial"/>
          <w:sz w:val="20"/>
          <w:szCs w:val="20"/>
          <w:lang w:val="en-GB"/>
        </w:rPr>
        <w:t xml:space="preserve"> and CCD detectors could be developed. These chips are fitted with special electronics, which allows extremely fast reading of the signal from CCD chips and is synchronised with control electronics of our laser system (the electronics must be adapted to our primary laser </w:t>
      </w:r>
      <w:proofErr w:type="spellStart"/>
      <w:r w:rsidRPr="00D23AFA">
        <w:rPr>
          <w:rFonts w:ascii="Arial" w:hAnsi="Arial" w:cs="Arial"/>
          <w:sz w:val="20"/>
          <w:szCs w:val="20"/>
          <w:lang w:val="en-GB"/>
        </w:rPr>
        <w:t>Quantronix</w:t>
      </w:r>
      <w:proofErr w:type="spellEnd"/>
      <w:r w:rsidRPr="00D23AFA">
        <w:rPr>
          <w:rFonts w:ascii="Arial" w:hAnsi="Arial" w:cs="Arial"/>
          <w:sz w:val="20"/>
          <w:szCs w:val="20"/>
          <w:lang w:val="en-GB"/>
        </w:rPr>
        <w:t xml:space="preserve"> Integra-</w:t>
      </w:r>
      <w:proofErr w:type="spellStart"/>
      <w:r w:rsidRPr="00D23AFA">
        <w:rPr>
          <w:rFonts w:ascii="Arial" w:hAnsi="Arial" w:cs="Arial"/>
          <w:sz w:val="20"/>
          <w:szCs w:val="20"/>
          <w:lang w:val="en-GB"/>
        </w:rPr>
        <w:t>i</w:t>
      </w:r>
      <w:proofErr w:type="spellEnd"/>
      <w:r w:rsidRPr="00D23AFA">
        <w:rPr>
          <w:rFonts w:ascii="Arial" w:hAnsi="Arial" w:cs="Arial"/>
          <w:sz w:val="20"/>
          <w:szCs w:val="20"/>
          <w:lang w:val="en-GB"/>
        </w:rPr>
        <w:t xml:space="preserve">). </w:t>
      </w:r>
    </w:p>
    <w:p w:rsidR="00ED04AD" w:rsidRPr="00D23AFA" w:rsidRDefault="009D39DF" w:rsidP="00ED04AD">
      <w:pPr>
        <w:rPr>
          <w:rFonts w:ascii="Arial" w:hAnsi="Arial" w:cs="Arial"/>
          <w:sz w:val="20"/>
          <w:szCs w:val="20"/>
          <w:lang w:val="en-GB"/>
        </w:rPr>
      </w:pPr>
      <w:r w:rsidRPr="00D23AFA">
        <w:rPr>
          <w:rFonts w:ascii="Arial" w:hAnsi="Arial" w:cs="Arial"/>
          <w:sz w:val="20"/>
          <w:szCs w:val="20"/>
          <w:lang w:val="en-GB"/>
        </w:rPr>
        <w:t>Further the upgrade lies in the addition of two boards with electronics into the main control unit of the detection system, which currently controls data collection and the whole experiment in the single-wavelength mode. The last group of development activities is modification of current software for experiment control, so that the software could control the experiment in broadband detection mode, as the software must control our devices used in the experiment. Final adjustments and software tuning is carried out on the spot during the upgrade installation.</w:t>
      </w:r>
      <w:r w:rsidR="00ED04AD" w:rsidRPr="00D23AFA">
        <w:rPr>
          <w:rFonts w:ascii="Arial" w:hAnsi="Arial" w:cs="Arial"/>
          <w:sz w:val="20"/>
          <w:szCs w:val="20"/>
          <w:lang w:val="en-GB"/>
        </w:rPr>
        <w:t xml:space="preserve">                                                      </w:t>
      </w:r>
    </w:p>
    <w:p w:rsidR="00ED04AD" w:rsidRPr="00D23AFA" w:rsidRDefault="00D43E0A" w:rsidP="00ED04AD">
      <w:pPr>
        <w:rPr>
          <w:rFonts w:ascii="Arial" w:hAnsi="Arial" w:cs="Arial"/>
          <w:sz w:val="20"/>
          <w:szCs w:val="20"/>
          <w:lang w:val="en-GB"/>
        </w:rPr>
      </w:pPr>
      <w:r w:rsidRPr="00D23AFA">
        <w:rPr>
          <w:rFonts w:ascii="Arial" w:hAnsi="Arial" w:cs="Arial"/>
          <w:sz w:val="20"/>
          <w:szCs w:val="20"/>
          <w:lang w:val="en-GB"/>
        </w:rPr>
        <w:t>See T</w:t>
      </w:r>
      <w:r w:rsidR="00ED04AD" w:rsidRPr="00D23AFA">
        <w:rPr>
          <w:rFonts w:ascii="Arial" w:hAnsi="Arial" w:cs="Arial"/>
          <w:sz w:val="20"/>
          <w:szCs w:val="20"/>
          <w:lang w:val="en-GB"/>
        </w:rPr>
        <w:t>echnical specification, Annex No. 3 of the tender docume</w:t>
      </w:r>
      <w:r w:rsidR="00425846" w:rsidRPr="00D23AFA">
        <w:rPr>
          <w:rFonts w:ascii="Arial" w:hAnsi="Arial" w:cs="Arial"/>
          <w:sz w:val="20"/>
          <w:szCs w:val="20"/>
          <w:lang w:val="en-GB"/>
        </w:rPr>
        <w:t>ntation</w:t>
      </w:r>
      <w:r w:rsidR="00ED04AD" w:rsidRPr="00D23AFA">
        <w:rPr>
          <w:rFonts w:ascii="Arial" w:hAnsi="Arial" w:cs="Arial"/>
          <w:sz w:val="20"/>
          <w:szCs w:val="20"/>
          <w:lang w:val="en-GB"/>
        </w:rPr>
        <w:t xml:space="preserve">. </w:t>
      </w:r>
    </w:p>
    <w:p w:rsidR="00ED04AD" w:rsidRPr="00D23AFA" w:rsidRDefault="00ED04AD" w:rsidP="00ED04AD">
      <w:pPr>
        <w:pStyle w:val="Odstavecseseznamem"/>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caps/>
          <w:sz w:val="20"/>
          <w:szCs w:val="20"/>
          <w:lang w:val="en-GB"/>
        </w:rPr>
      </w:pPr>
      <w:r w:rsidRPr="00D23AFA">
        <w:rPr>
          <w:rFonts w:ascii="Arial" w:hAnsi="Arial" w:cs="Arial"/>
          <w:b/>
          <w:caps/>
          <w:sz w:val="20"/>
          <w:szCs w:val="20"/>
          <w:lang w:val="en-GB"/>
        </w:rPr>
        <w:t>The</w:t>
      </w:r>
      <w:r w:rsidR="0006002B" w:rsidRPr="00D23AFA">
        <w:rPr>
          <w:rFonts w:ascii="Arial" w:hAnsi="Arial" w:cs="Arial"/>
          <w:b/>
          <w:caps/>
          <w:sz w:val="20"/>
          <w:szCs w:val="20"/>
          <w:lang w:val="en-GB"/>
        </w:rPr>
        <w:t xml:space="preserve"> award period</w:t>
      </w:r>
    </w:p>
    <w:p w:rsidR="00E33384" w:rsidRPr="00D23AFA" w:rsidRDefault="008010E9" w:rsidP="00E33384">
      <w:pPr>
        <w:ind w:left="45"/>
        <w:rPr>
          <w:rFonts w:ascii="Arial" w:hAnsi="Arial" w:cs="Arial"/>
          <w:sz w:val="20"/>
          <w:szCs w:val="20"/>
          <w:lang w:val="en-GB"/>
        </w:rPr>
      </w:pPr>
      <w:r w:rsidRPr="00D23AFA">
        <w:rPr>
          <w:rFonts w:ascii="Arial" w:hAnsi="Arial" w:cs="Arial"/>
          <w:sz w:val="20"/>
          <w:szCs w:val="20"/>
          <w:lang w:val="en-GB"/>
        </w:rPr>
        <w:t>T</w:t>
      </w:r>
      <w:r w:rsidR="00ED04AD" w:rsidRPr="00D23AFA">
        <w:rPr>
          <w:rFonts w:ascii="Arial" w:hAnsi="Arial" w:cs="Arial"/>
          <w:sz w:val="20"/>
          <w:szCs w:val="20"/>
          <w:lang w:val="en-GB"/>
        </w:rPr>
        <w:t>he award period is:  90 days</w:t>
      </w:r>
      <w:r w:rsidR="00E853F2" w:rsidRPr="00D23AFA">
        <w:rPr>
          <w:rFonts w:ascii="Arial" w:hAnsi="Arial" w:cs="Arial"/>
          <w:sz w:val="20"/>
          <w:szCs w:val="20"/>
          <w:lang w:val="en-GB"/>
        </w:rPr>
        <w:t>.</w:t>
      </w:r>
    </w:p>
    <w:p w:rsidR="00ED04AD" w:rsidRPr="00D23AFA" w:rsidRDefault="00ED04AD" w:rsidP="00ED04AD">
      <w:pPr>
        <w:pStyle w:val="Odstavecseseznamem"/>
        <w:numPr>
          <w:ilvl w:val="0"/>
          <w:numId w:val="1"/>
        </w:numPr>
        <w:pBdr>
          <w:top w:val="single" w:sz="4" w:space="1" w:color="auto"/>
          <w:left w:val="single" w:sz="4" w:space="4" w:color="auto"/>
          <w:bottom w:val="single" w:sz="4" w:space="0" w:color="auto"/>
          <w:right w:val="single" w:sz="4" w:space="4" w:color="auto"/>
        </w:pBdr>
        <w:shd w:val="clear" w:color="auto" w:fill="D9D9D9" w:themeFill="background1" w:themeFillShade="D9"/>
        <w:rPr>
          <w:rFonts w:ascii="Arial" w:hAnsi="Arial" w:cs="Arial"/>
          <w:b/>
          <w:caps/>
          <w:sz w:val="20"/>
          <w:szCs w:val="20"/>
          <w:lang w:val="en-GB"/>
        </w:rPr>
      </w:pPr>
      <w:r w:rsidRPr="00D23AFA">
        <w:rPr>
          <w:rFonts w:ascii="Arial" w:hAnsi="Arial" w:cs="Arial"/>
          <w:b/>
          <w:caps/>
          <w:sz w:val="20"/>
          <w:szCs w:val="20"/>
          <w:lang w:val="en-GB"/>
        </w:rPr>
        <w:t xml:space="preserve">Terms and conditions, including the payment terms , eventually objective conditions under which it is possible to exceed the tender price                 </w:t>
      </w:r>
    </w:p>
    <w:p w:rsidR="00BE7A9D" w:rsidRPr="00D23AFA" w:rsidRDefault="00BE7A9D" w:rsidP="00BE7A9D">
      <w:pPr>
        <w:rPr>
          <w:rFonts w:ascii="Arial" w:hAnsi="Arial" w:cs="Arial"/>
          <w:sz w:val="20"/>
          <w:szCs w:val="20"/>
          <w:lang w:val="en-GB"/>
        </w:rPr>
      </w:pPr>
      <w:r w:rsidRPr="00D23AFA">
        <w:rPr>
          <w:rFonts w:ascii="Arial" w:hAnsi="Arial" w:cs="Arial"/>
          <w:sz w:val="20"/>
          <w:szCs w:val="20"/>
          <w:lang w:val="en-GB"/>
        </w:rPr>
        <w:t xml:space="preserve"> Binding payment terms, delivery terms, guarantee conditions and conditions for sanctions are set out in the </w:t>
      </w:r>
      <w:r w:rsidR="00E730C9" w:rsidRPr="00D23AFA">
        <w:rPr>
          <w:rFonts w:ascii="Arial" w:hAnsi="Arial" w:cs="Arial"/>
          <w:sz w:val="20"/>
          <w:szCs w:val="20"/>
          <w:lang w:val="en-GB"/>
        </w:rPr>
        <w:t xml:space="preserve">model </w:t>
      </w:r>
      <w:r w:rsidR="00DF1F8C" w:rsidRPr="00D23AFA">
        <w:rPr>
          <w:rFonts w:ascii="Arial" w:hAnsi="Arial" w:cs="Arial"/>
          <w:sz w:val="20"/>
          <w:szCs w:val="20"/>
          <w:lang w:val="en-GB"/>
        </w:rPr>
        <w:t xml:space="preserve">Draft </w:t>
      </w:r>
      <w:r w:rsidR="00E730C9" w:rsidRPr="00D23AFA">
        <w:rPr>
          <w:rFonts w:ascii="Arial" w:hAnsi="Arial" w:cs="Arial"/>
          <w:sz w:val="20"/>
          <w:szCs w:val="20"/>
          <w:lang w:val="en-GB"/>
        </w:rPr>
        <w:t xml:space="preserve">Contract, which is </w:t>
      </w:r>
      <w:r w:rsidR="00E730C9" w:rsidRPr="009D39DF">
        <w:rPr>
          <w:rFonts w:ascii="Arial" w:hAnsi="Arial" w:cs="Arial"/>
          <w:sz w:val="20"/>
          <w:szCs w:val="20"/>
          <w:lang w:val="en-GB"/>
        </w:rPr>
        <w:t>the Annex No</w:t>
      </w:r>
      <w:r w:rsidR="00E853F2" w:rsidRPr="009D39DF">
        <w:rPr>
          <w:rFonts w:ascii="Arial" w:hAnsi="Arial" w:cs="Arial"/>
          <w:sz w:val="20"/>
          <w:szCs w:val="20"/>
          <w:lang w:val="en-GB"/>
        </w:rPr>
        <w:t>.</w:t>
      </w:r>
      <w:r w:rsidR="00D23AFA" w:rsidRPr="009D39DF">
        <w:rPr>
          <w:rFonts w:ascii="Arial" w:hAnsi="Arial" w:cs="Arial"/>
          <w:sz w:val="20"/>
          <w:szCs w:val="20"/>
          <w:lang w:val="en-GB"/>
        </w:rPr>
        <w:t xml:space="preserve"> </w:t>
      </w:r>
      <w:r w:rsidR="009D39DF" w:rsidRPr="009D39DF">
        <w:rPr>
          <w:rFonts w:ascii="Arial" w:hAnsi="Arial" w:cs="Arial"/>
          <w:sz w:val="20"/>
          <w:szCs w:val="20"/>
          <w:lang w:val="en-GB"/>
        </w:rPr>
        <w:t>4</w:t>
      </w:r>
      <w:r w:rsidRPr="00D23AFA">
        <w:rPr>
          <w:rFonts w:ascii="Arial" w:hAnsi="Arial" w:cs="Arial"/>
          <w:sz w:val="20"/>
          <w:szCs w:val="20"/>
          <w:lang w:val="en-GB"/>
        </w:rPr>
        <w:t xml:space="preserve"> of the tender documen</w:t>
      </w:r>
      <w:r w:rsidR="00425846" w:rsidRPr="00D23AFA">
        <w:rPr>
          <w:rFonts w:ascii="Arial" w:hAnsi="Arial" w:cs="Arial"/>
          <w:sz w:val="20"/>
          <w:szCs w:val="20"/>
          <w:lang w:val="en-GB"/>
        </w:rPr>
        <w:t>tation</w:t>
      </w:r>
      <w:r w:rsidRPr="00D23AFA">
        <w:rPr>
          <w:rFonts w:ascii="Arial" w:hAnsi="Arial" w:cs="Arial"/>
          <w:sz w:val="20"/>
          <w:szCs w:val="20"/>
          <w:lang w:val="en-GB"/>
        </w:rPr>
        <w:t xml:space="preserve">.       </w:t>
      </w:r>
      <w:r w:rsidR="009D39DF">
        <w:rPr>
          <w:rFonts w:ascii="Arial" w:hAnsi="Arial" w:cs="Arial"/>
          <w:sz w:val="20"/>
          <w:szCs w:val="20"/>
          <w:lang w:val="en-GB"/>
        </w:rPr>
        <w:t xml:space="preserve">        </w:t>
      </w:r>
      <w:r w:rsidRPr="00D23AFA">
        <w:rPr>
          <w:rFonts w:ascii="Arial" w:hAnsi="Arial" w:cs="Arial"/>
          <w:sz w:val="20"/>
          <w:szCs w:val="20"/>
          <w:lang w:val="en-GB"/>
        </w:rPr>
        <w:t xml:space="preserve">     </w:t>
      </w:r>
    </w:p>
    <w:p w:rsidR="00ED04AD" w:rsidRPr="00D23AFA" w:rsidRDefault="00ED04AD" w:rsidP="00ED04AD">
      <w:pPr>
        <w:pStyle w:val="Odstavecseseznamem"/>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Arial" w:hAnsi="Arial" w:cs="Arial"/>
          <w:b/>
          <w:caps/>
          <w:sz w:val="20"/>
          <w:szCs w:val="20"/>
          <w:lang w:val="en-GB"/>
        </w:rPr>
      </w:pPr>
      <w:r w:rsidRPr="00D23AFA">
        <w:rPr>
          <w:rFonts w:ascii="Arial" w:hAnsi="Arial" w:cs="Arial"/>
          <w:b/>
          <w:caps/>
          <w:sz w:val="20"/>
          <w:szCs w:val="20"/>
          <w:lang w:val="en-GB"/>
        </w:rPr>
        <w:t>Objective conditions under which it is possible to exceed the tender price</w:t>
      </w:r>
    </w:p>
    <w:p w:rsidR="00ED04AD" w:rsidRPr="00D23AFA" w:rsidRDefault="00ED04AD">
      <w:pPr>
        <w:rPr>
          <w:rFonts w:ascii="Arial" w:hAnsi="Arial" w:cs="Arial"/>
          <w:sz w:val="20"/>
          <w:szCs w:val="20"/>
          <w:lang w:val="en-GB"/>
        </w:rPr>
      </w:pPr>
      <w:r w:rsidRPr="00D23AFA">
        <w:rPr>
          <w:rFonts w:ascii="Arial" w:hAnsi="Arial" w:cs="Arial"/>
          <w:sz w:val="20"/>
          <w:szCs w:val="20"/>
          <w:lang w:val="en-GB"/>
        </w:rPr>
        <w:t xml:space="preserve">The </w:t>
      </w:r>
      <w:r w:rsidR="00DA5619" w:rsidRPr="00D23AFA">
        <w:rPr>
          <w:rFonts w:ascii="Arial" w:hAnsi="Arial" w:cs="Arial"/>
          <w:sz w:val="20"/>
          <w:szCs w:val="20"/>
          <w:lang w:val="en-GB"/>
        </w:rPr>
        <w:t>C</w:t>
      </w:r>
      <w:r w:rsidRPr="00D23AFA">
        <w:rPr>
          <w:rFonts w:ascii="Arial" w:hAnsi="Arial" w:cs="Arial"/>
          <w:sz w:val="20"/>
          <w:szCs w:val="20"/>
          <w:lang w:val="en-GB"/>
        </w:rPr>
        <w:t xml:space="preserve">ontracting authority does not allow </w:t>
      </w:r>
      <w:proofErr w:type="gramStart"/>
      <w:r w:rsidRPr="00D23AFA">
        <w:rPr>
          <w:rFonts w:ascii="Arial" w:hAnsi="Arial" w:cs="Arial"/>
          <w:sz w:val="20"/>
          <w:szCs w:val="20"/>
          <w:lang w:val="en-GB"/>
        </w:rPr>
        <w:t>to exc</w:t>
      </w:r>
      <w:r w:rsidR="008010E9" w:rsidRPr="00D23AFA">
        <w:rPr>
          <w:rFonts w:ascii="Arial" w:hAnsi="Arial" w:cs="Arial"/>
          <w:sz w:val="20"/>
          <w:szCs w:val="20"/>
          <w:lang w:val="en-GB"/>
        </w:rPr>
        <w:t>ee</w:t>
      </w:r>
      <w:r w:rsidRPr="00D23AFA">
        <w:rPr>
          <w:rFonts w:ascii="Arial" w:hAnsi="Arial" w:cs="Arial"/>
          <w:sz w:val="20"/>
          <w:szCs w:val="20"/>
          <w:lang w:val="en-GB"/>
        </w:rPr>
        <w:t>d</w:t>
      </w:r>
      <w:proofErr w:type="gramEnd"/>
      <w:r w:rsidRPr="00D23AFA">
        <w:rPr>
          <w:rFonts w:ascii="Arial" w:hAnsi="Arial" w:cs="Arial"/>
          <w:sz w:val="20"/>
          <w:szCs w:val="20"/>
          <w:lang w:val="en-GB"/>
        </w:rPr>
        <w:t xml:space="preserve"> the </w:t>
      </w:r>
      <w:r w:rsidR="00DE69C6" w:rsidRPr="00D23AFA">
        <w:rPr>
          <w:rFonts w:ascii="Arial" w:hAnsi="Arial" w:cs="Arial"/>
          <w:sz w:val="20"/>
          <w:szCs w:val="20"/>
          <w:lang w:val="en-GB"/>
        </w:rPr>
        <w:t>tender</w:t>
      </w:r>
      <w:r w:rsidRPr="00D23AFA">
        <w:rPr>
          <w:rFonts w:ascii="Arial" w:hAnsi="Arial" w:cs="Arial"/>
          <w:sz w:val="20"/>
          <w:szCs w:val="20"/>
          <w:lang w:val="en-GB"/>
        </w:rPr>
        <w:t xml:space="preserve"> price.</w:t>
      </w:r>
    </w:p>
    <w:p w:rsidR="00ED04AD" w:rsidRPr="00A47A46" w:rsidRDefault="00ED04AD" w:rsidP="00ED04AD">
      <w:pPr>
        <w:pStyle w:val="Odstavecseseznamem"/>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Arial" w:hAnsi="Arial" w:cs="Arial"/>
          <w:b/>
          <w:caps/>
          <w:sz w:val="20"/>
          <w:szCs w:val="20"/>
          <w:highlight w:val="lightGray"/>
          <w:lang w:val="en-GB"/>
        </w:rPr>
      </w:pPr>
      <w:r w:rsidRPr="00A47A46">
        <w:rPr>
          <w:rFonts w:ascii="Arial" w:hAnsi="Arial" w:cs="Arial"/>
          <w:b/>
          <w:caps/>
          <w:sz w:val="20"/>
          <w:szCs w:val="20"/>
          <w:highlight w:val="lightGray"/>
          <w:shd w:val="clear" w:color="auto" w:fill="FABF8F" w:themeFill="accent6" w:themeFillTint="99"/>
          <w:lang w:val="en-GB"/>
        </w:rPr>
        <w:t>Requirements for tenders</w:t>
      </w:r>
      <w:r w:rsidRPr="00A47A46">
        <w:rPr>
          <w:rFonts w:ascii="Arial" w:hAnsi="Arial" w:cs="Arial"/>
          <w:b/>
          <w:caps/>
          <w:sz w:val="20"/>
          <w:szCs w:val="20"/>
          <w:highlight w:val="lightGray"/>
          <w:lang w:val="en-GB"/>
        </w:rPr>
        <w:t xml:space="preserve"> </w:t>
      </w:r>
    </w:p>
    <w:p w:rsidR="00A52975" w:rsidRPr="00D23AFA" w:rsidRDefault="00BE7A9D" w:rsidP="00BE7A9D">
      <w:pPr>
        <w:rPr>
          <w:rFonts w:ascii="Arial" w:hAnsi="Arial" w:cs="Arial"/>
          <w:sz w:val="20"/>
          <w:szCs w:val="20"/>
          <w:lang w:val="en-GB"/>
        </w:rPr>
      </w:pPr>
      <w:r w:rsidRPr="00D23AFA">
        <w:rPr>
          <w:rFonts w:ascii="Arial" w:hAnsi="Arial" w:cs="Arial"/>
          <w:sz w:val="20"/>
          <w:szCs w:val="20"/>
          <w:lang w:val="en-GB"/>
        </w:rPr>
        <w:t xml:space="preserve"> </w:t>
      </w:r>
      <w:r w:rsidR="008010E9" w:rsidRPr="00D23AFA">
        <w:rPr>
          <w:rFonts w:ascii="Arial" w:hAnsi="Arial" w:cs="Arial"/>
          <w:sz w:val="20"/>
          <w:szCs w:val="20"/>
          <w:lang w:val="en-GB"/>
        </w:rPr>
        <w:t>T</w:t>
      </w:r>
      <w:r w:rsidRPr="00D23AFA">
        <w:rPr>
          <w:rFonts w:ascii="Arial" w:hAnsi="Arial" w:cs="Arial"/>
          <w:sz w:val="20"/>
          <w:szCs w:val="20"/>
          <w:lang w:val="en-GB"/>
        </w:rPr>
        <w:t xml:space="preserve">he </w:t>
      </w:r>
      <w:r w:rsidR="00DA5619" w:rsidRPr="00D23AFA">
        <w:rPr>
          <w:rFonts w:ascii="Arial" w:hAnsi="Arial" w:cs="Arial"/>
          <w:sz w:val="20"/>
          <w:szCs w:val="20"/>
          <w:lang w:val="en-GB"/>
        </w:rPr>
        <w:t>C</w:t>
      </w:r>
      <w:r w:rsidRPr="00D23AFA">
        <w:rPr>
          <w:rFonts w:ascii="Arial" w:hAnsi="Arial" w:cs="Arial"/>
          <w:sz w:val="20"/>
          <w:szCs w:val="20"/>
          <w:lang w:val="en-GB"/>
        </w:rPr>
        <w:t xml:space="preserve">ontracting authority does not permit any variants of </w:t>
      </w:r>
      <w:r w:rsidR="008010E9" w:rsidRPr="00D23AFA">
        <w:rPr>
          <w:rFonts w:ascii="Arial" w:hAnsi="Arial" w:cs="Arial"/>
          <w:sz w:val="20"/>
          <w:szCs w:val="20"/>
          <w:lang w:val="en-GB"/>
        </w:rPr>
        <w:t>tenders</w:t>
      </w:r>
      <w:r w:rsidRPr="00D23AFA">
        <w:rPr>
          <w:rFonts w:ascii="Arial" w:hAnsi="Arial" w:cs="Arial"/>
          <w:sz w:val="20"/>
          <w:szCs w:val="20"/>
          <w:lang w:val="en-GB"/>
        </w:rPr>
        <w:t xml:space="preserve">.    </w:t>
      </w:r>
    </w:p>
    <w:p w:rsidR="009D39DF" w:rsidRPr="00D23AFA" w:rsidRDefault="009D39DF" w:rsidP="009D39DF">
      <w:pPr>
        <w:pStyle w:val="Odstavecseseznamem"/>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caps/>
          <w:sz w:val="20"/>
          <w:szCs w:val="20"/>
          <w:lang w:val="en-GB"/>
        </w:rPr>
      </w:pPr>
      <w:r w:rsidRPr="00D23AFA">
        <w:rPr>
          <w:rFonts w:ascii="Arial" w:hAnsi="Arial" w:cs="Arial"/>
          <w:b/>
          <w:caps/>
          <w:sz w:val="20"/>
          <w:szCs w:val="20"/>
          <w:lang w:val="en-GB"/>
        </w:rPr>
        <w:t>Requirements for processing the tender price</w:t>
      </w:r>
    </w:p>
    <w:p w:rsidR="00D23AFA" w:rsidRPr="00D23AFA" w:rsidRDefault="00D23AFA" w:rsidP="00D23AFA">
      <w:pPr>
        <w:spacing w:before="240"/>
        <w:rPr>
          <w:rFonts w:ascii="Arial" w:hAnsi="Arial" w:cs="Arial"/>
          <w:sz w:val="20"/>
          <w:szCs w:val="20"/>
          <w:lang w:val="en-GB"/>
        </w:rPr>
      </w:pPr>
      <w:r w:rsidRPr="00D23AFA">
        <w:rPr>
          <w:rFonts w:ascii="Arial" w:hAnsi="Arial" w:cs="Arial"/>
          <w:sz w:val="20"/>
          <w:szCs w:val="20"/>
          <w:lang w:val="en-GB"/>
        </w:rPr>
        <w:t xml:space="preserve">The </w:t>
      </w:r>
      <w:proofErr w:type="spellStart"/>
      <w:r>
        <w:rPr>
          <w:rFonts w:ascii="Arial" w:hAnsi="Arial" w:cs="Arial"/>
          <w:sz w:val="20"/>
          <w:szCs w:val="20"/>
          <w:lang w:val="en-GB"/>
        </w:rPr>
        <w:t>tenderer</w:t>
      </w:r>
      <w:proofErr w:type="spellEnd"/>
      <w:r w:rsidRPr="00D23AFA">
        <w:rPr>
          <w:rFonts w:ascii="Arial" w:hAnsi="Arial" w:cs="Arial"/>
          <w:sz w:val="20"/>
          <w:szCs w:val="20"/>
          <w:lang w:val="en-GB"/>
        </w:rPr>
        <w:t xml:space="preserve"> provides a sum </w:t>
      </w:r>
      <w:r w:rsidR="009D39DF">
        <w:rPr>
          <w:rFonts w:ascii="Arial" w:hAnsi="Arial" w:cs="Arial"/>
          <w:sz w:val="20"/>
          <w:szCs w:val="20"/>
          <w:lang w:val="en-GB"/>
        </w:rPr>
        <w:t>tender</w:t>
      </w:r>
      <w:r w:rsidRPr="00D23AFA">
        <w:rPr>
          <w:rFonts w:ascii="Arial" w:hAnsi="Arial" w:cs="Arial"/>
          <w:sz w:val="20"/>
          <w:szCs w:val="20"/>
          <w:lang w:val="en-GB"/>
        </w:rPr>
        <w:t xml:space="preserve"> price for the whole subject of the public contract in accordance with its terms.</w:t>
      </w:r>
    </w:p>
    <w:p w:rsidR="00ED04AD" w:rsidRPr="00D23AFA" w:rsidRDefault="00425846" w:rsidP="00D43E0A">
      <w:pPr>
        <w:pStyle w:val="Odstavecseseznamem"/>
        <w:numPr>
          <w:ilvl w:val="0"/>
          <w:numId w:val="6"/>
        </w:numPr>
        <w:spacing w:before="240"/>
        <w:rPr>
          <w:rFonts w:ascii="Arial" w:hAnsi="Arial" w:cs="Arial"/>
          <w:sz w:val="20"/>
          <w:szCs w:val="20"/>
          <w:lang w:val="en-GB"/>
        </w:rPr>
      </w:pPr>
      <w:r w:rsidRPr="00D23AFA">
        <w:rPr>
          <w:rFonts w:ascii="Arial" w:hAnsi="Arial" w:cs="Arial"/>
          <w:sz w:val="20"/>
          <w:szCs w:val="20"/>
          <w:lang w:val="en-GB"/>
        </w:rPr>
        <w:t>T</w:t>
      </w:r>
      <w:r w:rsidR="00ED04AD" w:rsidRPr="00D23AFA">
        <w:rPr>
          <w:rFonts w:ascii="Arial" w:hAnsi="Arial" w:cs="Arial"/>
          <w:sz w:val="20"/>
          <w:szCs w:val="20"/>
          <w:lang w:val="en-GB"/>
        </w:rPr>
        <w:t xml:space="preserve">he </w:t>
      </w:r>
      <w:r w:rsidR="00DE69C6" w:rsidRPr="00D23AFA">
        <w:rPr>
          <w:rFonts w:ascii="Arial" w:hAnsi="Arial" w:cs="Arial"/>
          <w:sz w:val="20"/>
          <w:szCs w:val="20"/>
          <w:lang w:val="en-GB"/>
        </w:rPr>
        <w:t>tender</w:t>
      </w:r>
      <w:r w:rsidR="00ED04AD" w:rsidRPr="00D23AFA">
        <w:rPr>
          <w:rFonts w:ascii="Arial" w:hAnsi="Arial" w:cs="Arial"/>
          <w:sz w:val="20"/>
          <w:szCs w:val="20"/>
          <w:lang w:val="en-GB"/>
        </w:rPr>
        <w:t xml:space="preserve"> price will be in EUR   </w:t>
      </w:r>
    </w:p>
    <w:p w:rsidR="00ED04AD" w:rsidRPr="00D23AFA" w:rsidRDefault="00ED04AD" w:rsidP="00ED04AD">
      <w:pPr>
        <w:pStyle w:val="Odstavecseseznamem"/>
        <w:numPr>
          <w:ilvl w:val="0"/>
          <w:numId w:val="6"/>
        </w:numPr>
        <w:rPr>
          <w:rFonts w:ascii="Arial" w:hAnsi="Arial" w:cs="Arial"/>
          <w:sz w:val="20"/>
          <w:szCs w:val="20"/>
          <w:lang w:val="en-GB"/>
        </w:rPr>
      </w:pPr>
      <w:r w:rsidRPr="00D23AFA">
        <w:rPr>
          <w:rFonts w:ascii="Arial" w:hAnsi="Arial" w:cs="Arial"/>
          <w:sz w:val="20"/>
          <w:szCs w:val="20"/>
          <w:lang w:val="en-GB"/>
        </w:rPr>
        <w:t xml:space="preserve">The </w:t>
      </w:r>
      <w:r w:rsidR="00DE69C6" w:rsidRPr="00D23AFA">
        <w:rPr>
          <w:rFonts w:ascii="Arial" w:hAnsi="Arial" w:cs="Arial"/>
          <w:sz w:val="20"/>
          <w:szCs w:val="20"/>
          <w:lang w:val="en-GB"/>
        </w:rPr>
        <w:t>tender</w:t>
      </w:r>
      <w:r w:rsidRPr="00D23AFA">
        <w:rPr>
          <w:rFonts w:ascii="Arial" w:hAnsi="Arial" w:cs="Arial"/>
          <w:sz w:val="20"/>
          <w:szCs w:val="20"/>
          <w:lang w:val="en-GB"/>
        </w:rPr>
        <w:t xml:space="preserve"> price will be indicated in the following structure: the </w:t>
      </w:r>
      <w:r w:rsidR="00DE69C6" w:rsidRPr="00D23AFA">
        <w:rPr>
          <w:rFonts w:ascii="Arial" w:hAnsi="Arial" w:cs="Arial"/>
          <w:sz w:val="20"/>
          <w:szCs w:val="20"/>
          <w:lang w:val="en-GB"/>
        </w:rPr>
        <w:t>tender</w:t>
      </w:r>
      <w:r w:rsidRPr="00D23AFA">
        <w:rPr>
          <w:rFonts w:ascii="Arial" w:hAnsi="Arial" w:cs="Arial"/>
          <w:sz w:val="20"/>
          <w:szCs w:val="20"/>
          <w:lang w:val="en-GB"/>
        </w:rPr>
        <w:t xml:space="preserve"> price without value added tax (VAT), separately VAT (VAT rate in relation to the subject matter of the performance of a public contract) and the </w:t>
      </w:r>
      <w:r w:rsidR="00DE69C6" w:rsidRPr="00D23AFA">
        <w:rPr>
          <w:rFonts w:ascii="Arial" w:hAnsi="Arial" w:cs="Arial"/>
          <w:sz w:val="20"/>
          <w:szCs w:val="20"/>
          <w:lang w:val="en-GB"/>
        </w:rPr>
        <w:t>tender</w:t>
      </w:r>
      <w:r w:rsidRPr="00D23AFA">
        <w:rPr>
          <w:rFonts w:ascii="Arial" w:hAnsi="Arial" w:cs="Arial"/>
          <w:sz w:val="20"/>
          <w:szCs w:val="20"/>
          <w:lang w:val="en-GB"/>
        </w:rPr>
        <w:t xml:space="preserve"> price, including SALES TAX.                                                                    </w:t>
      </w:r>
    </w:p>
    <w:p w:rsidR="003671A5" w:rsidRDefault="00ED04AD" w:rsidP="003671A5">
      <w:pPr>
        <w:pStyle w:val="Odstavecseseznamem"/>
        <w:numPr>
          <w:ilvl w:val="0"/>
          <w:numId w:val="6"/>
        </w:numPr>
        <w:rPr>
          <w:rFonts w:ascii="Arial" w:hAnsi="Arial" w:cs="Arial"/>
          <w:sz w:val="20"/>
          <w:szCs w:val="20"/>
          <w:lang w:val="en-GB"/>
        </w:rPr>
      </w:pPr>
      <w:r w:rsidRPr="00D23AFA">
        <w:rPr>
          <w:rFonts w:ascii="Arial" w:hAnsi="Arial" w:cs="Arial"/>
          <w:sz w:val="20"/>
          <w:szCs w:val="20"/>
          <w:lang w:val="en-GB"/>
        </w:rPr>
        <w:t xml:space="preserve">The </w:t>
      </w:r>
      <w:r w:rsidR="00DE69C6" w:rsidRPr="00D23AFA">
        <w:rPr>
          <w:rFonts w:ascii="Arial" w:hAnsi="Arial" w:cs="Arial"/>
          <w:sz w:val="20"/>
          <w:szCs w:val="20"/>
          <w:lang w:val="en-GB"/>
        </w:rPr>
        <w:t>tender</w:t>
      </w:r>
      <w:r w:rsidRPr="00D23AFA">
        <w:rPr>
          <w:rFonts w:ascii="Arial" w:hAnsi="Arial" w:cs="Arial"/>
          <w:sz w:val="20"/>
          <w:szCs w:val="20"/>
          <w:lang w:val="en-GB"/>
        </w:rPr>
        <w:t xml:space="preserve"> price will include all the costs associated with the implementation of the </w:t>
      </w:r>
      <w:r w:rsidR="00425846" w:rsidRPr="00D23AFA">
        <w:rPr>
          <w:rFonts w:ascii="Arial" w:hAnsi="Arial" w:cs="Arial"/>
          <w:sz w:val="20"/>
          <w:szCs w:val="20"/>
          <w:lang w:val="en-GB"/>
        </w:rPr>
        <w:t>tender´s</w:t>
      </w:r>
      <w:r w:rsidRPr="00D23AFA">
        <w:rPr>
          <w:rFonts w:ascii="Arial" w:hAnsi="Arial" w:cs="Arial"/>
          <w:sz w:val="20"/>
          <w:szCs w:val="20"/>
          <w:lang w:val="en-GB"/>
        </w:rPr>
        <w:t xml:space="preserve"> subject of the public contract.</w:t>
      </w:r>
    </w:p>
    <w:p w:rsidR="003671A5" w:rsidRPr="003671A5" w:rsidRDefault="003671A5" w:rsidP="003671A5">
      <w:pPr>
        <w:pStyle w:val="Odstavecseseznamem"/>
        <w:spacing w:before="240"/>
        <w:rPr>
          <w:rFonts w:ascii="Arial" w:hAnsi="Arial" w:cs="Arial"/>
          <w:sz w:val="20"/>
          <w:szCs w:val="20"/>
          <w:lang w:val="en-GB"/>
        </w:rPr>
      </w:pPr>
    </w:p>
    <w:p w:rsidR="00ED04AD" w:rsidRPr="00D23AFA" w:rsidRDefault="00ED04AD" w:rsidP="00ED04AD">
      <w:pPr>
        <w:pStyle w:val="Odstavecseseznamem"/>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caps/>
          <w:sz w:val="20"/>
          <w:szCs w:val="20"/>
          <w:lang w:val="en-GB"/>
        </w:rPr>
      </w:pPr>
      <w:r w:rsidRPr="00D23AFA">
        <w:rPr>
          <w:rFonts w:ascii="Arial" w:hAnsi="Arial" w:cs="Arial"/>
          <w:b/>
          <w:caps/>
          <w:sz w:val="20"/>
          <w:szCs w:val="20"/>
          <w:lang w:val="en-GB"/>
        </w:rPr>
        <w:lastRenderedPageBreak/>
        <w:t xml:space="preserve">The requirements on the qualification                                                          </w:t>
      </w:r>
    </w:p>
    <w:p w:rsidR="00E02695" w:rsidRPr="00D23AFA" w:rsidRDefault="00D23AFA" w:rsidP="00E853F2">
      <w:pPr>
        <w:rPr>
          <w:rFonts w:ascii="Arial" w:hAnsi="Arial" w:cs="Arial"/>
          <w:sz w:val="20"/>
          <w:szCs w:val="20"/>
          <w:lang w:val="en-GB"/>
        </w:rPr>
      </w:pPr>
      <w:r>
        <w:rPr>
          <w:rFonts w:ascii="Arial" w:hAnsi="Arial" w:cs="Arial"/>
          <w:sz w:val="20"/>
          <w:szCs w:val="20"/>
          <w:lang w:val="en-GB"/>
        </w:rPr>
        <w:t>A</w:t>
      </w:r>
      <w:r w:rsidR="00BE7A9D" w:rsidRPr="00D23AFA">
        <w:rPr>
          <w:rFonts w:ascii="Arial" w:hAnsi="Arial" w:cs="Arial"/>
          <w:sz w:val="20"/>
          <w:szCs w:val="20"/>
          <w:lang w:val="en-GB"/>
        </w:rPr>
        <w:t xml:space="preserve"> qualified supplier is:</w:t>
      </w:r>
    </w:p>
    <w:p w:rsidR="00E853F2" w:rsidRPr="00D23AFA" w:rsidRDefault="00BE7A9D" w:rsidP="00A87012">
      <w:pPr>
        <w:spacing w:after="0"/>
        <w:rPr>
          <w:rFonts w:ascii="Arial" w:hAnsi="Arial" w:cs="Arial"/>
          <w:sz w:val="20"/>
          <w:szCs w:val="20"/>
          <w:lang w:val="en-GB"/>
        </w:rPr>
      </w:pPr>
      <w:r w:rsidRPr="00D23AFA">
        <w:rPr>
          <w:rFonts w:ascii="Arial" w:hAnsi="Arial" w:cs="Arial"/>
          <w:sz w:val="20"/>
          <w:szCs w:val="20"/>
          <w:lang w:val="en-GB"/>
        </w:rPr>
        <w:t xml:space="preserve">  a) </w:t>
      </w:r>
      <w:proofErr w:type="gramStart"/>
      <w:r w:rsidRPr="00D23AFA">
        <w:rPr>
          <w:rFonts w:ascii="Arial" w:hAnsi="Arial" w:cs="Arial"/>
          <w:sz w:val="20"/>
          <w:szCs w:val="20"/>
          <w:lang w:val="en-GB"/>
        </w:rPr>
        <w:t>a</w:t>
      </w:r>
      <w:proofErr w:type="gramEnd"/>
      <w:r w:rsidRPr="00D23AFA">
        <w:rPr>
          <w:rFonts w:ascii="Arial" w:hAnsi="Arial" w:cs="Arial"/>
          <w:sz w:val="20"/>
          <w:szCs w:val="20"/>
          <w:lang w:val="en-GB"/>
        </w:rPr>
        <w:t xml:space="preserve"> supplier who meets the essential qualifications,                      </w:t>
      </w:r>
    </w:p>
    <w:p w:rsidR="00D43E0A" w:rsidRPr="00D23AFA" w:rsidRDefault="00BE7A9D" w:rsidP="00E853F2">
      <w:pPr>
        <w:rPr>
          <w:rFonts w:ascii="Arial" w:hAnsi="Arial" w:cs="Arial"/>
          <w:sz w:val="20"/>
          <w:szCs w:val="20"/>
          <w:lang w:val="en-GB"/>
        </w:rPr>
      </w:pPr>
      <w:r w:rsidRPr="00D23AFA">
        <w:rPr>
          <w:rFonts w:ascii="Arial" w:hAnsi="Arial" w:cs="Arial"/>
          <w:sz w:val="20"/>
          <w:szCs w:val="20"/>
          <w:lang w:val="en-GB"/>
        </w:rPr>
        <w:t xml:space="preserve">  b) </w:t>
      </w:r>
      <w:proofErr w:type="gramStart"/>
      <w:r w:rsidRPr="00D23AFA">
        <w:rPr>
          <w:rFonts w:ascii="Arial" w:hAnsi="Arial" w:cs="Arial"/>
          <w:sz w:val="20"/>
          <w:szCs w:val="20"/>
          <w:lang w:val="en-GB"/>
        </w:rPr>
        <w:t>a</w:t>
      </w:r>
      <w:proofErr w:type="gramEnd"/>
      <w:r w:rsidRPr="00D23AFA">
        <w:rPr>
          <w:rFonts w:ascii="Arial" w:hAnsi="Arial" w:cs="Arial"/>
          <w:sz w:val="20"/>
          <w:szCs w:val="20"/>
          <w:lang w:val="en-GB"/>
        </w:rPr>
        <w:t xml:space="preserve"> supplier who meets the professional qualificatio</w:t>
      </w:r>
      <w:r w:rsidR="00D43E0A" w:rsidRPr="00D23AFA">
        <w:rPr>
          <w:rFonts w:ascii="Arial" w:hAnsi="Arial" w:cs="Arial"/>
          <w:sz w:val="20"/>
          <w:szCs w:val="20"/>
          <w:lang w:val="en-GB"/>
        </w:rPr>
        <w:t>ns.</w:t>
      </w:r>
      <w:r w:rsidRPr="00D23AFA">
        <w:rPr>
          <w:rFonts w:ascii="Arial" w:hAnsi="Arial" w:cs="Arial"/>
          <w:sz w:val="20"/>
          <w:szCs w:val="20"/>
          <w:lang w:val="en-GB"/>
        </w:rPr>
        <w:t xml:space="preserve">         </w:t>
      </w:r>
    </w:p>
    <w:p w:rsidR="00BE7A9D" w:rsidRPr="00CB7A8D" w:rsidRDefault="00E02695" w:rsidP="00E02695">
      <w:pPr>
        <w:jc w:val="both"/>
        <w:rPr>
          <w:rFonts w:ascii="Arial" w:hAnsi="Arial" w:cs="Arial"/>
          <w:b/>
          <w:sz w:val="20"/>
          <w:szCs w:val="20"/>
          <w:lang w:val="en-GB"/>
        </w:rPr>
      </w:pPr>
      <w:r w:rsidRPr="00CB7A8D">
        <w:rPr>
          <w:rFonts w:ascii="Arial" w:hAnsi="Arial" w:cs="Arial"/>
          <w:b/>
          <w:sz w:val="20"/>
          <w:szCs w:val="20"/>
          <w:lang w:val="en-GB"/>
        </w:rPr>
        <w:t>Supplier shall demonstrate compliance with the basic and professional qualification requirements by submitting an affidavit. Affidavit must be signed by a person authorized to act on behalf of the candidate.</w:t>
      </w:r>
      <w:r w:rsidR="00BE7A9D" w:rsidRPr="00CB7A8D">
        <w:rPr>
          <w:rFonts w:ascii="Arial" w:hAnsi="Arial" w:cs="Arial"/>
          <w:b/>
          <w:sz w:val="20"/>
          <w:szCs w:val="20"/>
          <w:lang w:val="en-GB"/>
        </w:rPr>
        <w:t xml:space="preserve">       </w:t>
      </w:r>
    </w:p>
    <w:p w:rsidR="0006002B" w:rsidRPr="00CB7A8D" w:rsidRDefault="00E02695" w:rsidP="00CB7A8D">
      <w:pPr>
        <w:jc w:val="both"/>
        <w:rPr>
          <w:rFonts w:ascii="Arial" w:hAnsi="Arial" w:cs="Arial"/>
          <w:b/>
          <w:sz w:val="20"/>
          <w:szCs w:val="20"/>
          <w:lang w:val="en-GB"/>
        </w:rPr>
      </w:pPr>
      <w:r w:rsidRPr="00CB7A8D">
        <w:rPr>
          <w:rFonts w:ascii="Arial" w:hAnsi="Arial" w:cs="Arial"/>
          <w:b/>
          <w:sz w:val="20"/>
          <w:szCs w:val="20"/>
          <w:lang w:val="en-GB"/>
        </w:rPr>
        <w:t>In case where the law or authority in proof of qualification requires submission of an affidavit of compliance with supplier qualification, such a statement must contain the law and authority data required to meet the qualification requirements and must also be signed by a person authorized to act on behalf of the supplier. If a supplier is a person different from the person authorized to act on behalf of the supplier it must be submitted in the tender power of attorney in original or certified copy.</w:t>
      </w:r>
    </w:p>
    <w:p w:rsidR="00ED04AD" w:rsidRPr="00D23AFA" w:rsidRDefault="00ED04AD" w:rsidP="00ED04AD">
      <w:pPr>
        <w:pStyle w:val="Odstavecseseznamem"/>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708"/>
          <w:tab w:val="left" w:pos="2268"/>
        </w:tabs>
        <w:autoSpaceDE w:val="0"/>
        <w:autoSpaceDN w:val="0"/>
        <w:adjustRightInd w:val="0"/>
        <w:spacing w:after="0" w:line="240" w:lineRule="auto"/>
        <w:ind w:right="249"/>
        <w:jc w:val="both"/>
        <w:rPr>
          <w:rFonts w:ascii="Arial" w:hAnsi="Arial" w:cs="Arial"/>
          <w:color w:val="000000"/>
          <w:sz w:val="20"/>
          <w:szCs w:val="20"/>
          <w:u w:val="single"/>
          <w:lang w:val="en-GB"/>
        </w:rPr>
      </w:pPr>
      <w:r w:rsidRPr="00D23AFA">
        <w:rPr>
          <w:rFonts w:ascii="Arial" w:hAnsi="Arial" w:cs="Arial"/>
          <w:b/>
          <w:sz w:val="20"/>
          <w:szCs w:val="20"/>
          <w:lang w:val="en-GB"/>
        </w:rPr>
        <w:t xml:space="preserve">BASIC QUALIFICATION </w:t>
      </w:r>
    </w:p>
    <w:p w:rsidR="00A87012" w:rsidRDefault="00A87012" w:rsidP="00ED04AD">
      <w:pPr>
        <w:autoSpaceDE w:val="0"/>
        <w:autoSpaceDN w:val="0"/>
        <w:adjustRightInd w:val="0"/>
        <w:spacing w:after="0" w:line="240" w:lineRule="auto"/>
        <w:jc w:val="both"/>
        <w:rPr>
          <w:rFonts w:ascii="Arial" w:hAnsi="Arial" w:cs="Arial"/>
          <w:color w:val="000000"/>
          <w:sz w:val="20"/>
          <w:szCs w:val="20"/>
          <w:u w:val="single"/>
          <w:lang w:val="en-GB"/>
        </w:rPr>
      </w:pPr>
    </w:p>
    <w:p w:rsidR="00ED04AD" w:rsidRPr="00D23AFA" w:rsidRDefault="00A87012" w:rsidP="00ED04AD">
      <w:pPr>
        <w:autoSpaceDE w:val="0"/>
        <w:autoSpaceDN w:val="0"/>
        <w:adjustRightInd w:val="0"/>
        <w:spacing w:after="0" w:line="240" w:lineRule="auto"/>
        <w:jc w:val="both"/>
        <w:rPr>
          <w:rFonts w:ascii="Arial" w:eastAsiaTheme="minorHAnsi" w:hAnsi="Arial" w:cs="Arial"/>
          <w:sz w:val="20"/>
          <w:szCs w:val="20"/>
          <w:lang w:val="en-GB"/>
        </w:rPr>
      </w:pPr>
      <w:r w:rsidRPr="00D23AFA">
        <w:rPr>
          <w:rFonts w:ascii="Arial" w:eastAsiaTheme="minorHAnsi" w:hAnsi="Arial" w:cs="Arial"/>
          <w:sz w:val="20"/>
          <w:szCs w:val="20"/>
          <w:lang w:val="en-GB"/>
        </w:rPr>
        <w:t xml:space="preserve"> </w:t>
      </w:r>
      <w:r w:rsidR="00ED04AD" w:rsidRPr="00D23AFA">
        <w:rPr>
          <w:rFonts w:ascii="Arial" w:eastAsiaTheme="minorHAnsi" w:hAnsi="Arial" w:cs="Arial"/>
          <w:sz w:val="20"/>
          <w:szCs w:val="20"/>
          <w:lang w:val="en-GB"/>
        </w:rPr>
        <w:t xml:space="preserve">(a) has not been finally convicted of a criminal offence committed for the benefit of an organized crime group, of a criminal offence of participation in an organized crime group, legalisation of proceeds of criminal activity, </w:t>
      </w:r>
      <w:proofErr w:type="spellStart"/>
      <w:r w:rsidR="00ED04AD" w:rsidRPr="00D23AFA">
        <w:rPr>
          <w:rFonts w:ascii="Arial" w:eastAsiaTheme="minorHAnsi" w:hAnsi="Arial" w:cs="Arial"/>
          <w:sz w:val="20"/>
          <w:szCs w:val="20"/>
          <w:lang w:val="en-GB"/>
        </w:rPr>
        <w:t>accessoryship</w:t>
      </w:r>
      <w:proofErr w:type="spellEnd"/>
      <w:r w:rsidR="00ED04AD" w:rsidRPr="00D23AFA">
        <w:rPr>
          <w:rFonts w:ascii="Arial" w:eastAsiaTheme="minorHAnsi" w:hAnsi="Arial" w:cs="Arial"/>
          <w:sz w:val="20"/>
          <w:szCs w:val="20"/>
          <w:lang w:val="en-GB"/>
        </w:rPr>
        <w:t>, taking bribes, bribery, indirect corruption, fraud, loan fraud, including the cases where they involve preparation for and attempts of complicity in such a criminal offence, or if the conviction on committing such a criminal offence has been expunged; this prerequisite shall be met in the case of a legal person by both such a legal person as well as the statutory body thereof or by each member</w:t>
      </w:r>
      <w:r w:rsidR="00B82BA9" w:rsidRPr="00D23AFA">
        <w:rPr>
          <w:rFonts w:ascii="Arial" w:eastAsiaTheme="minorHAnsi" w:hAnsi="Arial" w:cs="Arial"/>
          <w:sz w:val="20"/>
          <w:szCs w:val="20"/>
          <w:lang w:val="en-GB"/>
        </w:rPr>
        <w:t xml:space="preserve"> </w:t>
      </w:r>
      <w:r w:rsidR="00ED04AD" w:rsidRPr="00D23AFA">
        <w:rPr>
          <w:rFonts w:ascii="Arial" w:eastAsiaTheme="minorHAnsi" w:hAnsi="Arial" w:cs="Arial"/>
          <w:sz w:val="20"/>
          <w:szCs w:val="20"/>
          <w:lang w:val="en-GB"/>
        </w:rPr>
        <w:t>of the statutory body, and where a legal person acts as a statutory body or a member of the statutory body of an economic operator, this prerequisite shall be met by the statutory body or by each member of the statutory body of such a legal person; if a tender or request to participate is submitted by a foreign legal person by means of its organisational branch, the prerequisite pursuant to this subparagraph shall be met, besides the indicated persons, also by the head of the organisational branch; such a basic qualifications prerequisite shall be met by the economic operator both in relation to the territory of the Czech Republic and to the country of registered office, place of business or residence thereof,</w:t>
      </w:r>
    </w:p>
    <w:p w:rsidR="00ED04AD" w:rsidRPr="00D23AFA" w:rsidRDefault="00ED04AD" w:rsidP="00ED04AD">
      <w:pPr>
        <w:autoSpaceDE w:val="0"/>
        <w:autoSpaceDN w:val="0"/>
        <w:adjustRightInd w:val="0"/>
        <w:spacing w:after="0" w:line="240" w:lineRule="auto"/>
        <w:jc w:val="both"/>
        <w:rPr>
          <w:rFonts w:ascii="Arial" w:eastAsiaTheme="minorHAnsi" w:hAnsi="Arial" w:cs="Arial"/>
          <w:sz w:val="20"/>
          <w:szCs w:val="20"/>
          <w:lang w:val="en-GB"/>
        </w:rPr>
      </w:pPr>
    </w:p>
    <w:p w:rsidR="00ED04AD" w:rsidRPr="00D23AFA" w:rsidRDefault="00ED04AD" w:rsidP="00ED04AD">
      <w:pPr>
        <w:autoSpaceDE w:val="0"/>
        <w:autoSpaceDN w:val="0"/>
        <w:adjustRightInd w:val="0"/>
        <w:spacing w:after="0" w:line="240" w:lineRule="auto"/>
        <w:jc w:val="both"/>
        <w:rPr>
          <w:rFonts w:ascii="Arial" w:eastAsiaTheme="minorHAnsi" w:hAnsi="Arial" w:cs="Arial"/>
          <w:sz w:val="20"/>
          <w:szCs w:val="20"/>
          <w:lang w:val="en-GB"/>
        </w:rPr>
      </w:pPr>
      <w:r w:rsidRPr="00D23AFA">
        <w:rPr>
          <w:rFonts w:ascii="Arial" w:eastAsiaTheme="minorHAnsi" w:hAnsi="Arial" w:cs="Arial"/>
          <w:sz w:val="20"/>
          <w:szCs w:val="20"/>
          <w:lang w:val="en-GB"/>
        </w:rPr>
        <w:t>(b) has not been finally convicted of a criminal offence, where the facts of the case are related to the</w:t>
      </w:r>
      <w:r w:rsidR="005A39BF" w:rsidRPr="00D23AFA">
        <w:rPr>
          <w:rFonts w:ascii="Arial" w:eastAsiaTheme="minorHAnsi" w:hAnsi="Arial" w:cs="Arial"/>
          <w:sz w:val="20"/>
          <w:szCs w:val="20"/>
          <w:lang w:val="en-GB"/>
        </w:rPr>
        <w:t xml:space="preserve"> </w:t>
      </w:r>
      <w:r w:rsidRPr="00D23AFA">
        <w:rPr>
          <w:rFonts w:ascii="Arial" w:eastAsiaTheme="minorHAnsi" w:hAnsi="Arial" w:cs="Arial"/>
          <w:sz w:val="20"/>
          <w:szCs w:val="20"/>
          <w:lang w:val="en-GB"/>
        </w:rPr>
        <w:t>object of business activities of the economic operator under separate legal regulations or where the</w:t>
      </w:r>
      <w:r w:rsidR="005A39BF" w:rsidRPr="00D23AFA">
        <w:rPr>
          <w:rFonts w:ascii="Arial" w:eastAsiaTheme="minorHAnsi" w:hAnsi="Arial" w:cs="Arial"/>
          <w:sz w:val="20"/>
          <w:szCs w:val="20"/>
          <w:lang w:val="en-GB"/>
        </w:rPr>
        <w:t xml:space="preserve"> </w:t>
      </w:r>
      <w:r w:rsidRPr="00D23AFA">
        <w:rPr>
          <w:rFonts w:ascii="Arial" w:eastAsiaTheme="minorHAnsi" w:hAnsi="Arial" w:cs="Arial"/>
          <w:sz w:val="20"/>
          <w:szCs w:val="20"/>
          <w:lang w:val="en-GB"/>
        </w:rPr>
        <w:t>conviction on committing such a criminal offence has been expunged; this condition shall be met in the</w:t>
      </w:r>
      <w:r w:rsidR="005A39BF" w:rsidRPr="00D23AFA">
        <w:rPr>
          <w:rFonts w:ascii="Arial" w:eastAsiaTheme="minorHAnsi" w:hAnsi="Arial" w:cs="Arial"/>
          <w:sz w:val="20"/>
          <w:szCs w:val="20"/>
          <w:lang w:val="en-GB"/>
        </w:rPr>
        <w:t xml:space="preserve"> </w:t>
      </w:r>
      <w:r w:rsidRPr="00D23AFA">
        <w:rPr>
          <w:rFonts w:ascii="Arial" w:eastAsiaTheme="minorHAnsi" w:hAnsi="Arial" w:cs="Arial"/>
          <w:sz w:val="20"/>
          <w:szCs w:val="20"/>
          <w:lang w:val="en-GB"/>
        </w:rPr>
        <w:t>case of a legal person by both such a legal person as well as the statutory body thereof or by each member</w:t>
      </w:r>
      <w:r w:rsidR="005A39BF" w:rsidRPr="00D23AFA">
        <w:rPr>
          <w:rFonts w:ascii="Arial" w:eastAsiaTheme="minorHAnsi" w:hAnsi="Arial" w:cs="Arial"/>
          <w:sz w:val="20"/>
          <w:szCs w:val="20"/>
          <w:lang w:val="en-GB"/>
        </w:rPr>
        <w:t xml:space="preserve"> </w:t>
      </w:r>
      <w:r w:rsidRPr="00D23AFA">
        <w:rPr>
          <w:rFonts w:ascii="Arial" w:eastAsiaTheme="minorHAnsi" w:hAnsi="Arial" w:cs="Arial"/>
          <w:sz w:val="20"/>
          <w:szCs w:val="20"/>
          <w:lang w:val="en-GB"/>
        </w:rPr>
        <w:t>of the statutory body, and where a legal person acts as a statutory body or a member of the statutory body</w:t>
      </w:r>
      <w:r w:rsidR="005A39BF" w:rsidRPr="00D23AFA">
        <w:rPr>
          <w:rFonts w:ascii="Arial" w:eastAsiaTheme="minorHAnsi" w:hAnsi="Arial" w:cs="Arial"/>
          <w:sz w:val="20"/>
          <w:szCs w:val="20"/>
          <w:lang w:val="en-GB"/>
        </w:rPr>
        <w:t xml:space="preserve"> </w:t>
      </w:r>
      <w:r w:rsidRPr="00D23AFA">
        <w:rPr>
          <w:rFonts w:ascii="Arial" w:eastAsiaTheme="minorHAnsi" w:hAnsi="Arial" w:cs="Arial"/>
          <w:sz w:val="20"/>
          <w:szCs w:val="20"/>
          <w:lang w:val="en-GB"/>
        </w:rPr>
        <w:t>of an economic operator, this prerequisite shall be met by both such a legal person as well as the statutory</w:t>
      </w:r>
      <w:r w:rsidR="005A39BF" w:rsidRPr="00D23AFA">
        <w:rPr>
          <w:rFonts w:ascii="Arial" w:eastAsiaTheme="minorHAnsi" w:hAnsi="Arial" w:cs="Arial"/>
          <w:sz w:val="20"/>
          <w:szCs w:val="20"/>
          <w:lang w:val="en-GB"/>
        </w:rPr>
        <w:t xml:space="preserve"> </w:t>
      </w:r>
      <w:r w:rsidRPr="00D23AFA">
        <w:rPr>
          <w:rFonts w:ascii="Arial" w:eastAsiaTheme="minorHAnsi" w:hAnsi="Arial" w:cs="Arial"/>
          <w:sz w:val="20"/>
          <w:szCs w:val="20"/>
          <w:lang w:val="en-GB"/>
        </w:rPr>
        <w:t>body thereof or by each member of the statutory body of such a legal person; if a tender or request to</w:t>
      </w:r>
      <w:r w:rsidR="005A39BF" w:rsidRPr="00D23AFA">
        <w:rPr>
          <w:rFonts w:ascii="Arial" w:eastAsiaTheme="minorHAnsi" w:hAnsi="Arial" w:cs="Arial"/>
          <w:sz w:val="20"/>
          <w:szCs w:val="20"/>
          <w:lang w:val="en-GB"/>
        </w:rPr>
        <w:t xml:space="preserve"> </w:t>
      </w:r>
      <w:r w:rsidRPr="00D23AFA">
        <w:rPr>
          <w:rFonts w:ascii="Arial" w:eastAsiaTheme="minorHAnsi" w:hAnsi="Arial" w:cs="Arial"/>
          <w:sz w:val="20"/>
          <w:szCs w:val="20"/>
          <w:lang w:val="en-GB"/>
        </w:rPr>
        <w:t>participate is submitted by a foreign legal person by means of</w:t>
      </w:r>
      <w:r w:rsidR="005A39BF" w:rsidRPr="00D23AFA">
        <w:rPr>
          <w:rFonts w:ascii="Arial" w:eastAsiaTheme="minorHAnsi" w:hAnsi="Arial" w:cs="Arial"/>
          <w:sz w:val="20"/>
          <w:szCs w:val="20"/>
          <w:lang w:val="en-GB"/>
        </w:rPr>
        <w:t xml:space="preserve"> its organisational branch, the </w:t>
      </w:r>
      <w:r w:rsidRPr="00D23AFA">
        <w:rPr>
          <w:rFonts w:ascii="Arial" w:eastAsiaTheme="minorHAnsi" w:hAnsi="Arial" w:cs="Arial"/>
          <w:sz w:val="20"/>
          <w:szCs w:val="20"/>
          <w:lang w:val="en-GB"/>
        </w:rPr>
        <w:t>prerequisite</w:t>
      </w:r>
      <w:r w:rsidR="005A39BF" w:rsidRPr="00D23AFA">
        <w:rPr>
          <w:rFonts w:ascii="Arial" w:eastAsiaTheme="minorHAnsi" w:hAnsi="Arial" w:cs="Arial"/>
          <w:sz w:val="20"/>
          <w:szCs w:val="20"/>
          <w:lang w:val="en-GB"/>
        </w:rPr>
        <w:t xml:space="preserve"> </w:t>
      </w:r>
      <w:r w:rsidRPr="00D23AFA">
        <w:rPr>
          <w:rFonts w:ascii="Arial" w:eastAsiaTheme="minorHAnsi" w:hAnsi="Arial" w:cs="Arial"/>
          <w:sz w:val="20"/>
          <w:szCs w:val="20"/>
          <w:lang w:val="en-GB"/>
        </w:rPr>
        <w:t>pursuant to this subparagraph shall be met, in addition to the indicated persons, also by the head of the</w:t>
      </w:r>
      <w:r w:rsidR="005A39BF" w:rsidRPr="00D23AFA">
        <w:rPr>
          <w:rFonts w:ascii="Arial" w:eastAsiaTheme="minorHAnsi" w:hAnsi="Arial" w:cs="Arial"/>
          <w:sz w:val="20"/>
          <w:szCs w:val="20"/>
          <w:lang w:val="en-GB"/>
        </w:rPr>
        <w:t xml:space="preserve"> </w:t>
      </w:r>
      <w:r w:rsidRPr="00D23AFA">
        <w:rPr>
          <w:rFonts w:ascii="Arial" w:eastAsiaTheme="minorHAnsi" w:hAnsi="Arial" w:cs="Arial"/>
          <w:sz w:val="20"/>
          <w:szCs w:val="20"/>
          <w:lang w:val="en-GB"/>
        </w:rPr>
        <w:t>organisational branch; such a basic qualifications prerequisite shall be met by the economic operator both</w:t>
      </w:r>
      <w:r w:rsidR="005A39BF" w:rsidRPr="00D23AFA">
        <w:rPr>
          <w:rFonts w:ascii="Arial" w:eastAsiaTheme="minorHAnsi" w:hAnsi="Arial" w:cs="Arial"/>
          <w:sz w:val="20"/>
          <w:szCs w:val="20"/>
          <w:lang w:val="en-GB"/>
        </w:rPr>
        <w:t xml:space="preserve"> </w:t>
      </w:r>
      <w:r w:rsidRPr="00D23AFA">
        <w:rPr>
          <w:rFonts w:ascii="Arial" w:eastAsiaTheme="minorHAnsi" w:hAnsi="Arial" w:cs="Arial"/>
          <w:sz w:val="20"/>
          <w:szCs w:val="20"/>
          <w:lang w:val="en-GB"/>
        </w:rPr>
        <w:t>in relation to the territory of the Czech Republic and to the country of registered office, place of business</w:t>
      </w:r>
      <w:r w:rsidR="005A39BF" w:rsidRPr="00D23AFA">
        <w:rPr>
          <w:rFonts w:ascii="Arial" w:eastAsiaTheme="minorHAnsi" w:hAnsi="Arial" w:cs="Arial"/>
          <w:sz w:val="20"/>
          <w:szCs w:val="20"/>
          <w:lang w:val="en-GB"/>
        </w:rPr>
        <w:t xml:space="preserve"> </w:t>
      </w:r>
      <w:r w:rsidRPr="00D23AFA">
        <w:rPr>
          <w:rFonts w:ascii="Arial" w:eastAsiaTheme="minorHAnsi" w:hAnsi="Arial" w:cs="Arial"/>
          <w:sz w:val="20"/>
          <w:szCs w:val="20"/>
          <w:lang w:val="en-GB"/>
        </w:rPr>
        <w:t>or residence thereof,</w:t>
      </w:r>
    </w:p>
    <w:p w:rsidR="00ED04AD" w:rsidRPr="00D23AFA" w:rsidRDefault="00ED04AD" w:rsidP="00ED04AD">
      <w:pPr>
        <w:autoSpaceDE w:val="0"/>
        <w:autoSpaceDN w:val="0"/>
        <w:adjustRightInd w:val="0"/>
        <w:spacing w:after="0" w:line="240" w:lineRule="auto"/>
        <w:jc w:val="both"/>
        <w:rPr>
          <w:rFonts w:ascii="Arial" w:eastAsiaTheme="minorHAnsi" w:hAnsi="Arial" w:cs="Arial"/>
          <w:sz w:val="20"/>
          <w:szCs w:val="20"/>
          <w:lang w:val="en-GB"/>
        </w:rPr>
      </w:pPr>
    </w:p>
    <w:p w:rsidR="00ED04AD" w:rsidRPr="00D23AFA" w:rsidRDefault="00ED04AD" w:rsidP="00ED04AD">
      <w:pPr>
        <w:autoSpaceDE w:val="0"/>
        <w:autoSpaceDN w:val="0"/>
        <w:adjustRightInd w:val="0"/>
        <w:spacing w:after="0" w:line="240" w:lineRule="auto"/>
        <w:jc w:val="both"/>
        <w:rPr>
          <w:rFonts w:ascii="Arial" w:eastAsiaTheme="minorHAnsi" w:hAnsi="Arial" w:cs="Arial"/>
          <w:sz w:val="20"/>
          <w:szCs w:val="20"/>
          <w:lang w:val="en-GB"/>
        </w:rPr>
      </w:pPr>
      <w:r w:rsidRPr="00D23AFA">
        <w:rPr>
          <w:rFonts w:ascii="Arial" w:eastAsiaTheme="minorHAnsi" w:hAnsi="Arial" w:cs="Arial"/>
          <w:sz w:val="20"/>
          <w:szCs w:val="20"/>
          <w:lang w:val="en-GB"/>
        </w:rPr>
        <w:t xml:space="preserve">(c) </w:t>
      </w:r>
      <w:proofErr w:type="gramStart"/>
      <w:r w:rsidRPr="00D23AFA">
        <w:rPr>
          <w:rFonts w:ascii="Arial" w:eastAsiaTheme="minorHAnsi" w:hAnsi="Arial" w:cs="Arial"/>
          <w:sz w:val="20"/>
          <w:szCs w:val="20"/>
          <w:lang w:val="en-GB"/>
        </w:rPr>
        <w:t>has</w:t>
      </w:r>
      <w:proofErr w:type="gramEnd"/>
      <w:r w:rsidRPr="00D23AFA">
        <w:rPr>
          <w:rFonts w:ascii="Arial" w:eastAsiaTheme="minorHAnsi" w:hAnsi="Arial" w:cs="Arial"/>
          <w:sz w:val="20"/>
          <w:szCs w:val="20"/>
          <w:lang w:val="en-GB"/>
        </w:rPr>
        <w:t xml:space="preserve"> not accomplished elements of unfair competition practic</w:t>
      </w:r>
      <w:r w:rsidR="005A39BF" w:rsidRPr="00D23AFA">
        <w:rPr>
          <w:rFonts w:ascii="Arial" w:eastAsiaTheme="minorHAnsi" w:hAnsi="Arial" w:cs="Arial"/>
          <w:sz w:val="20"/>
          <w:szCs w:val="20"/>
          <w:lang w:val="en-GB"/>
        </w:rPr>
        <w:t xml:space="preserve">es in the form of bribery under </w:t>
      </w:r>
      <w:r w:rsidRPr="00D23AFA">
        <w:rPr>
          <w:rFonts w:ascii="Arial" w:eastAsiaTheme="minorHAnsi" w:hAnsi="Arial" w:cs="Arial"/>
          <w:sz w:val="20"/>
          <w:szCs w:val="20"/>
          <w:lang w:val="en-GB"/>
        </w:rPr>
        <w:t>separate</w:t>
      </w:r>
      <w:r w:rsidR="005A39BF" w:rsidRPr="00D23AFA">
        <w:rPr>
          <w:rFonts w:ascii="Arial" w:eastAsiaTheme="minorHAnsi" w:hAnsi="Arial" w:cs="Arial"/>
          <w:sz w:val="20"/>
          <w:szCs w:val="20"/>
          <w:lang w:val="en-GB"/>
        </w:rPr>
        <w:t xml:space="preserve"> </w:t>
      </w:r>
      <w:r w:rsidRPr="00D23AFA">
        <w:rPr>
          <w:rFonts w:ascii="Arial" w:eastAsiaTheme="minorHAnsi" w:hAnsi="Arial" w:cs="Arial"/>
          <w:sz w:val="20"/>
          <w:szCs w:val="20"/>
          <w:lang w:val="en-GB"/>
        </w:rPr>
        <w:t xml:space="preserve">legal regulation </w:t>
      </w:r>
    </w:p>
    <w:p w:rsidR="00ED04AD" w:rsidRPr="00D23AFA" w:rsidRDefault="00ED04AD" w:rsidP="00ED04AD">
      <w:pPr>
        <w:autoSpaceDE w:val="0"/>
        <w:autoSpaceDN w:val="0"/>
        <w:adjustRightInd w:val="0"/>
        <w:spacing w:after="0" w:line="240" w:lineRule="auto"/>
        <w:jc w:val="both"/>
        <w:rPr>
          <w:rFonts w:ascii="Arial" w:eastAsiaTheme="minorHAnsi" w:hAnsi="Arial" w:cs="Arial"/>
          <w:sz w:val="20"/>
          <w:szCs w:val="20"/>
          <w:lang w:val="en-GB"/>
        </w:rPr>
      </w:pPr>
    </w:p>
    <w:p w:rsidR="00ED04AD" w:rsidRPr="00D23AFA" w:rsidRDefault="00ED04AD" w:rsidP="00ED04AD">
      <w:pPr>
        <w:autoSpaceDE w:val="0"/>
        <w:autoSpaceDN w:val="0"/>
        <w:adjustRightInd w:val="0"/>
        <w:spacing w:after="0" w:line="240" w:lineRule="auto"/>
        <w:jc w:val="both"/>
        <w:rPr>
          <w:rFonts w:ascii="Arial" w:eastAsiaTheme="minorHAnsi" w:hAnsi="Arial" w:cs="Arial"/>
          <w:sz w:val="20"/>
          <w:szCs w:val="20"/>
          <w:lang w:val="en-GB"/>
        </w:rPr>
      </w:pPr>
      <w:r w:rsidRPr="00D23AFA">
        <w:rPr>
          <w:rFonts w:ascii="Arial" w:eastAsiaTheme="minorHAnsi" w:hAnsi="Arial" w:cs="Arial"/>
          <w:sz w:val="20"/>
          <w:szCs w:val="20"/>
          <w:lang w:val="en-GB"/>
        </w:rPr>
        <w:t>(d) is not or has not been subject to insolvency proceedings involving its assets, in which the declaration</w:t>
      </w:r>
      <w:r w:rsidR="005A39BF" w:rsidRPr="00D23AFA">
        <w:rPr>
          <w:rFonts w:ascii="Arial" w:eastAsiaTheme="minorHAnsi" w:hAnsi="Arial" w:cs="Arial"/>
          <w:sz w:val="20"/>
          <w:szCs w:val="20"/>
          <w:lang w:val="en-GB"/>
        </w:rPr>
        <w:t xml:space="preserve"> </w:t>
      </w:r>
      <w:r w:rsidRPr="00D23AFA">
        <w:rPr>
          <w:rFonts w:ascii="Arial" w:eastAsiaTheme="minorHAnsi" w:hAnsi="Arial" w:cs="Arial"/>
          <w:sz w:val="20"/>
          <w:szCs w:val="20"/>
          <w:lang w:val="en-GB"/>
        </w:rPr>
        <w:t>of bankruptcy has been issued or insolvency petition has not been rejected due to lack of assets on the part</w:t>
      </w:r>
      <w:r w:rsidR="005A39BF" w:rsidRPr="00D23AFA">
        <w:rPr>
          <w:rFonts w:ascii="Arial" w:eastAsiaTheme="minorHAnsi" w:hAnsi="Arial" w:cs="Arial"/>
          <w:sz w:val="20"/>
          <w:szCs w:val="20"/>
          <w:lang w:val="en-GB"/>
        </w:rPr>
        <w:t xml:space="preserve"> </w:t>
      </w:r>
      <w:r w:rsidRPr="00D23AFA">
        <w:rPr>
          <w:rFonts w:ascii="Arial" w:eastAsiaTheme="minorHAnsi" w:hAnsi="Arial" w:cs="Arial"/>
          <w:sz w:val="20"/>
          <w:szCs w:val="20"/>
          <w:lang w:val="en-GB"/>
        </w:rPr>
        <w:t xml:space="preserve">of the economic operator to cover the costs of insolvency proceedings, or the </w:t>
      </w:r>
      <w:r w:rsidRPr="00D23AFA">
        <w:rPr>
          <w:rFonts w:ascii="Arial" w:eastAsiaTheme="minorHAnsi" w:hAnsi="Arial" w:cs="Arial"/>
          <w:sz w:val="20"/>
          <w:szCs w:val="20"/>
          <w:lang w:val="en-GB"/>
        </w:rPr>
        <w:lastRenderedPageBreak/>
        <w:t>declaration of bankruptcy</w:t>
      </w:r>
      <w:r w:rsidR="005A39BF" w:rsidRPr="00D23AFA">
        <w:rPr>
          <w:rFonts w:ascii="Arial" w:eastAsiaTheme="minorHAnsi" w:hAnsi="Arial" w:cs="Arial"/>
          <w:sz w:val="20"/>
          <w:szCs w:val="20"/>
          <w:lang w:val="en-GB"/>
        </w:rPr>
        <w:t xml:space="preserve"> </w:t>
      </w:r>
      <w:r w:rsidR="001A27A1" w:rsidRPr="00D23AFA">
        <w:rPr>
          <w:rFonts w:ascii="Arial" w:eastAsiaTheme="minorHAnsi" w:hAnsi="Arial" w:cs="Arial"/>
          <w:sz w:val="20"/>
          <w:szCs w:val="20"/>
          <w:lang w:val="en-GB"/>
        </w:rPr>
        <w:t xml:space="preserve"> </w:t>
      </w:r>
      <w:r w:rsidRPr="00D23AFA">
        <w:rPr>
          <w:rFonts w:ascii="Arial" w:eastAsiaTheme="minorHAnsi" w:hAnsi="Arial" w:cs="Arial"/>
          <w:sz w:val="20"/>
          <w:szCs w:val="20"/>
          <w:lang w:val="en-GB"/>
        </w:rPr>
        <w:t>has not been set aside because of the economic operator´s insufficient property or in respect of which the</w:t>
      </w:r>
      <w:r w:rsidR="001A27A1" w:rsidRPr="00D23AFA">
        <w:rPr>
          <w:rFonts w:ascii="Arial" w:eastAsiaTheme="minorHAnsi" w:hAnsi="Arial" w:cs="Arial"/>
          <w:sz w:val="20"/>
          <w:szCs w:val="20"/>
          <w:lang w:val="en-GB"/>
        </w:rPr>
        <w:t xml:space="preserve"> </w:t>
      </w:r>
      <w:r w:rsidRPr="00D23AFA">
        <w:rPr>
          <w:rFonts w:ascii="Arial" w:eastAsiaTheme="minorHAnsi" w:hAnsi="Arial" w:cs="Arial"/>
          <w:sz w:val="20"/>
          <w:szCs w:val="20"/>
          <w:lang w:val="en-GB"/>
        </w:rPr>
        <w:t>receivership has been imposed on under separate legal regulation in the preceding 3 years,</w:t>
      </w:r>
    </w:p>
    <w:p w:rsidR="00ED04AD" w:rsidRPr="00D23AFA" w:rsidRDefault="00ED04AD" w:rsidP="00ED04AD">
      <w:pPr>
        <w:autoSpaceDE w:val="0"/>
        <w:autoSpaceDN w:val="0"/>
        <w:adjustRightInd w:val="0"/>
        <w:spacing w:after="0" w:line="240" w:lineRule="auto"/>
        <w:jc w:val="both"/>
        <w:rPr>
          <w:rFonts w:ascii="Arial" w:eastAsiaTheme="minorHAnsi" w:hAnsi="Arial" w:cs="Arial"/>
          <w:sz w:val="20"/>
          <w:szCs w:val="20"/>
          <w:lang w:val="en-GB"/>
        </w:rPr>
      </w:pPr>
    </w:p>
    <w:p w:rsidR="00ED04AD" w:rsidRPr="00D23AFA" w:rsidRDefault="00ED04AD" w:rsidP="00ED04AD">
      <w:pPr>
        <w:autoSpaceDE w:val="0"/>
        <w:autoSpaceDN w:val="0"/>
        <w:adjustRightInd w:val="0"/>
        <w:spacing w:after="0" w:line="240" w:lineRule="auto"/>
        <w:jc w:val="both"/>
        <w:rPr>
          <w:rFonts w:ascii="Arial" w:eastAsiaTheme="minorHAnsi" w:hAnsi="Arial" w:cs="Arial"/>
          <w:sz w:val="20"/>
          <w:szCs w:val="20"/>
          <w:lang w:val="en-GB"/>
        </w:rPr>
      </w:pPr>
      <w:r w:rsidRPr="00D23AFA">
        <w:rPr>
          <w:rFonts w:ascii="Arial" w:eastAsiaTheme="minorHAnsi" w:hAnsi="Arial" w:cs="Arial"/>
          <w:sz w:val="20"/>
          <w:szCs w:val="20"/>
          <w:lang w:val="en-GB"/>
        </w:rPr>
        <w:t xml:space="preserve">(e) </w:t>
      </w:r>
      <w:proofErr w:type="gramStart"/>
      <w:r w:rsidRPr="00D23AFA">
        <w:rPr>
          <w:rFonts w:ascii="Arial" w:eastAsiaTheme="minorHAnsi" w:hAnsi="Arial" w:cs="Arial"/>
          <w:sz w:val="20"/>
          <w:szCs w:val="20"/>
          <w:lang w:val="en-GB"/>
        </w:rPr>
        <w:t>is</w:t>
      </w:r>
      <w:proofErr w:type="gramEnd"/>
      <w:r w:rsidRPr="00D23AFA">
        <w:rPr>
          <w:rFonts w:ascii="Arial" w:eastAsiaTheme="minorHAnsi" w:hAnsi="Arial" w:cs="Arial"/>
          <w:sz w:val="20"/>
          <w:szCs w:val="20"/>
          <w:lang w:val="en-GB"/>
        </w:rPr>
        <w:t xml:space="preserve"> not being wound up,</w:t>
      </w:r>
    </w:p>
    <w:p w:rsidR="00ED04AD" w:rsidRPr="00D23AFA" w:rsidRDefault="00ED04AD" w:rsidP="00ED04AD">
      <w:pPr>
        <w:autoSpaceDE w:val="0"/>
        <w:autoSpaceDN w:val="0"/>
        <w:adjustRightInd w:val="0"/>
        <w:spacing w:after="0" w:line="240" w:lineRule="auto"/>
        <w:jc w:val="both"/>
        <w:rPr>
          <w:rFonts w:ascii="Arial" w:eastAsiaTheme="minorHAnsi" w:hAnsi="Arial" w:cs="Arial"/>
          <w:sz w:val="20"/>
          <w:szCs w:val="20"/>
          <w:lang w:val="en-GB"/>
        </w:rPr>
      </w:pPr>
    </w:p>
    <w:p w:rsidR="00ED04AD" w:rsidRPr="00D23AFA" w:rsidRDefault="00ED04AD" w:rsidP="00ED04AD">
      <w:pPr>
        <w:autoSpaceDE w:val="0"/>
        <w:autoSpaceDN w:val="0"/>
        <w:adjustRightInd w:val="0"/>
        <w:spacing w:after="0" w:line="240" w:lineRule="auto"/>
        <w:jc w:val="both"/>
        <w:rPr>
          <w:rFonts w:ascii="Arial" w:eastAsiaTheme="minorHAnsi" w:hAnsi="Arial" w:cs="Arial"/>
          <w:sz w:val="20"/>
          <w:szCs w:val="20"/>
          <w:lang w:val="en-GB"/>
        </w:rPr>
      </w:pPr>
      <w:r w:rsidRPr="00D23AFA">
        <w:rPr>
          <w:rFonts w:ascii="Arial" w:eastAsiaTheme="minorHAnsi" w:hAnsi="Arial" w:cs="Arial"/>
          <w:sz w:val="20"/>
          <w:szCs w:val="20"/>
          <w:lang w:val="en-GB"/>
        </w:rPr>
        <w:t>(f) has no outstanding tax arrears registered in tax records, both in the Czech Republic and in the country</w:t>
      </w:r>
      <w:r w:rsidR="001A27A1" w:rsidRPr="00D23AFA">
        <w:rPr>
          <w:rFonts w:ascii="Arial" w:eastAsiaTheme="minorHAnsi" w:hAnsi="Arial" w:cs="Arial"/>
          <w:sz w:val="20"/>
          <w:szCs w:val="20"/>
          <w:lang w:val="en-GB"/>
        </w:rPr>
        <w:t xml:space="preserve"> </w:t>
      </w:r>
      <w:r w:rsidRPr="00D23AFA">
        <w:rPr>
          <w:rFonts w:ascii="Arial" w:eastAsiaTheme="minorHAnsi" w:hAnsi="Arial" w:cs="Arial"/>
          <w:sz w:val="20"/>
          <w:szCs w:val="20"/>
          <w:lang w:val="en-GB"/>
        </w:rPr>
        <w:t>of registered office, place of business or residence of an economic operator,</w:t>
      </w:r>
    </w:p>
    <w:p w:rsidR="00ED04AD" w:rsidRPr="00D23AFA" w:rsidRDefault="00ED04AD" w:rsidP="00ED04AD">
      <w:pPr>
        <w:autoSpaceDE w:val="0"/>
        <w:autoSpaceDN w:val="0"/>
        <w:adjustRightInd w:val="0"/>
        <w:spacing w:after="0" w:line="240" w:lineRule="auto"/>
        <w:jc w:val="both"/>
        <w:rPr>
          <w:rFonts w:ascii="Arial" w:eastAsiaTheme="minorHAnsi" w:hAnsi="Arial" w:cs="Arial"/>
          <w:sz w:val="20"/>
          <w:szCs w:val="20"/>
          <w:lang w:val="en-GB"/>
        </w:rPr>
      </w:pPr>
    </w:p>
    <w:p w:rsidR="00ED04AD" w:rsidRPr="00D23AFA" w:rsidRDefault="00ED04AD" w:rsidP="00ED04AD">
      <w:pPr>
        <w:autoSpaceDE w:val="0"/>
        <w:autoSpaceDN w:val="0"/>
        <w:adjustRightInd w:val="0"/>
        <w:spacing w:after="0" w:line="240" w:lineRule="auto"/>
        <w:jc w:val="both"/>
        <w:rPr>
          <w:rFonts w:ascii="Arial" w:eastAsiaTheme="minorHAnsi" w:hAnsi="Arial" w:cs="Arial"/>
          <w:sz w:val="20"/>
          <w:szCs w:val="20"/>
          <w:lang w:val="en-GB"/>
        </w:rPr>
      </w:pPr>
      <w:r w:rsidRPr="00D23AFA">
        <w:rPr>
          <w:rFonts w:ascii="Arial" w:eastAsiaTheme="minorHAnsi" w:hAnsi="Arial" w:cs="Arial"/>
          <w:sz w:val="20"/>
          <w:szCs w:val="20"/>
          <w:lang w:val="en-GB"/>
        </w:rPr>
        <w:t>(g) has no outstanding arrears in respect of payments and penalties of public health insurance, both in the</w:t>
      </w:r>
      <w:r w:rsidR="001A27A1" w:rsidRPr="00D23AFA">
        <w:rPr>
          <w:rFonts w:ascii="Arial" w:eastAsiaTheme="minorHAnsi" w:hAnsi="Arial" w:cs="Arial"/>
          <w:sz w:val="20"/>
          <w:szCs w:val="20"/>
          <w:lang w:val="en-GB"/>
        </w:rPr>
        <w:t xml:space="preserve"> </w:t>
      </w:r>
      <w:r w:rsidRPr="00D23AFA">
        <w:rPr>
          <w:rFonts w:ascii="Arial" w:eastAsiaTheme="minorHAnsi" w:hAnsi="Arial" w:cs="Arial"/>
          <w:sz w:val="20"/>
          <w:szCs w:val="20"/>
          <w:lang w:val="en-GB"/>
        </w:rPr>
        <w:t>Czech Republic and in the country of registered office, place of business or residence of an economic</w:t>
      </w:r>
      <w:r w:rsidR="001A27A1" w:rsidRPr="00D23AFA">
        <w:rPr>
          <w:rFonts w:ascii="Arial" w:eastAsiaTheme="minorHAnsi" w:hAnsi="Arial" w:cs="Arial"/>
          <w:sz w:val="20"/>
          <w:szCs w:val="20"/>
          <w:lang w:val="en-GB"/>
        </w:rPr>
        <w:t xml:space="preserve"> </w:t>
      </w:r>
      <w:r w:rsidRPr="00D23AFA">
        <w:rPr>
          <w:rFonts w:ascii="Arial" w:eastAsiaTheme="minorHAnsi" w:hAnsi="Arial" w:cs="Arial"/>
          <w:sz w:val="20"/>
          <w:szCs w:val="20"/>
          <w:lang w:val="en-GB"/>
        </w:rPr>
        <w:t>operator,</w:t>
      </w:r>
    </w:p>
    <w:p w:rsidR="00ED04AD" w:rsidRPr="00D23AFA" w:rsidRDefault="00ED04AD" w:rsidP="00ED04AD">
      <w:pPr>
        <w:autoSpaceDE w:val="0"/>
        <w:autoSpaceDN w:val="0"/>
        <w:adjustRightInd w:val="0"/>
        <w:spacing w:after="0" w:line="240" w:lineRule="auto"/>
        <w:jc w:val="both"/>
        <w:rPr>
          <w:rFonts w:ascii="Arial" w:eastAsiaTheme="minorHAnsi" w:hAnsi="Arial" w:cs="Arial"/>
          <w:sz w:val="20"/>
          <w:szCs w:val="20"/>
          <w:lang w:val="en-GB"/>
        </w:rPr>
      </w:pPr>
    </w:p>
    <w:p w:rsidR="00ED04AD" w:rsidRPr="00D23AFA" w:rsidRDefault="00ED04AD" w:rsidP="00ED04AD">
      <w:pPr>
        <w:autoSpaceDE w:val="0"/>
        <w:autoSpaceDN w:val="0"/>
        <w:adjustRightInd w:val="0"/>
        <w:spacing w:after="0" w:line="240" w:lineRule="auto"/>
        <w:jc w:val="both"/>
        <w:rPr>
          <w:rFonts w:ascii="Arial" w:eastAsiaTheme="minorHAnsi" w:hAnsi="Arial" w:cs="Arial"/>
          <w:sz w:val="20"/>
          <w:szCs w:val="20"/>
          <w:lang w:val="en-GB"/>
        </w:rPr>
      </w:pPr>
      <w:r w:rsidRPr="00D23AFA">
        <w:rPr>
          <w:rFonts w:ascii="Arial" w:eastAsiaTheme="minorHAnsi" w:hAnsi="Arial" w:cs="Arial"/>
          <w:sz w:val="20"/>
          <w:szCs w:val="20"/>
          <w:lang w:val="en-GB"/>
        </w:rPr>
        <w:t>(h) has no outstanding arrears in respect of payments and penalties of the social security insurance and</w:t>
      </w:r>
      <w:r w:rsidR="001A27A1" w:rsidRPr="00D23AFA">
        <w:rPr>
          <w:rFonts w:ascii="Arial" w:eastAsiaTheme="minorHAnsi" w:hAnsi="Arial" w:cs="Arial"/>
          <w:sz w:val="20"/>
          <w:szCs w:val="20"/>
          <w:lang w:val="en-GB"/>
        </w:rPr>
        <w:t xml:space="preserve"> </w:t>
      </w:r>
      <w:r w:rsidRPr="00D23AFA">
        <w:rPr>
          <w:rFonts w:ascii="Arial" w:eastAsiaTheme="minorHAnsi" w:hAnsi="Arial" w:cs="Arial"/>
          <w:sz w:val="20"/>
          <w:szCs w:val="20"/>
          <w:lang w:val="en-GB"/>
        </w:rPr>
        <w:t>contribution to the State employment policy, both in the Czech Republic and in the country of registered</w:t>
      </w:r>
      <w:r w:rsidR="001A27A1" w:rsidRPr="00D23AFA">
        <w:rPr>
          <w:rFonts w:ascii="Arial" w:eastAsiaTheme="minorHAnsi" w:hAnsi="Arial" w:cs="Arial"/>
          <w:sz w:val="20"/>
          <w:szCs w:val="20"/>
          <w:lang w:val="en-GB"/>
        </w:rPr>
        <w:t xml:space="preserve"> </w:t>
      </w:r>
      <w:r w:rsidRPr="00D23AFA">
        <w:rPr>
          <w:rFonts w:ascii="Arial" w:eastAsiaTheme="minorHAnsi" w:hAnsi="Arial" w:cs="Arial"/>
          <w:sz w:val="20"/>
          <w:szCs w:val="20"/>
          <w:lang w:val="en-GB"/>
        </w:rPr>
        <w:t>office, place of business or residence of an economic operator,</w:t>
      </w:r>
    </w:p>
    <w:p w:rsidR="00ED04AD" w:rsidRPr="00D23AFA" w:rsidRDefault="00ED04AD" w:rsidP="00ED04AD">
      <w:pPr>
        <w:autoSpaceDE w:val="0"/>
        <w:autoSpaceDN w:val="0"/>
        <w:adjustRightInd w:val="0"/>
        <w:spacing w:after="0" w:line="240" w:lineRule="auto"/>
        <w:jc w:val="both"/>
        <w:rPr>
          <w:rFonts w:ascii="Arial" w:eastAsiaTheme="minorHAnsi" w:hAnsi="Arial" w:cs="Arial"/>
          <w:sz w:val="20"/>
          <w:szCs w:val="20"/>
          <w:lang w:val="en-GB"/>
        </w:rPr>
      </w:pPr>
    </w:p>
    <w:p w:rsidR="00ED04AD" w:rsidRPr="00D23AFA" w:rsidRDefault="00ED04AD" w:rsidP="00ED04AD">
      <w:pPr>
        <w:autoSpaceDE w:val="0"/>
        <w:autoSpaceDN w:val="0"/>
        <w:adjustRightInd w:val="0"/>
        <w:spacing w:after="0" w:line="240" w:lineRule="auto"/>
        <w:jc w:val="both"/>
        <w:rPr>
          <w:rFonts w:ascii="Arial" w:eastAsiaTheme="minorHAnsi" w:hAnsi="Arial" w:cs="Arial"/>
          <w:sz w:val="20"/>
          <w:szCs w:val="20"/>
          <w:lang w:val="en-GB"/>
        </w:rPr>
      </w:pPr>
      <w:r w:rsidRPr="00D23AFA">
        <w:rPr>
          <w:rFonts w:ascii="Arial" w:eastAsiaTheme="minorHAnsi" w:hAnsi="Arial" w:cs="Arial"/>
          <w:sz w:val="20"/>
          <w:szCs w:val="20"/>
          <w:lang w:val="en-GB"/>
        </w:rPr>
        <w:t>(</w:t>
      </w:r>
      <w:proofErr w:type="spellStart"/>
      <w:r w:rsidRPr="00D23AFA">
        <w:rPr>
          <w:rFonts w:ascii="Arial" w:eastAsiaTheme="minorHAnsi" w:hAnsi="Arial" w:cs="Arial"/>
          <w:sz w:val="20"/>
          <w:szCs w:val="20"/>
          <w:lang w:val="en-GB"/>
        </w:rPr>
        <w:t>i</w:t>
      </w:r>
      <w:proofErr w:type="spellEnd"/>
      <w:r w:rsidRPr="00D23AFA">
        <w:rPr>
          <w:rFonts w:ascii="Arial" w:eastAsiaTheme="minorHAnsi" w:hAnsi="Arial" w:cs="Arial"/>
          <w:sz w:val="20"/>
          <w:szCs w:val="20"/>
          <w:lang w:val="en-GB"/>
        </w:rPr>
        <w:t>) has not been found guilty for grave professional misconduct in the preceding 3 years or has not been</w:t>
      </w:r>
      <w:r w:rsidR="001A27A1" w:rsidRPr="00D23AFA">
        <w:rPr>
          <w:rFonts w:ascii="Arial" w:eastAsiaTheme="minorHAnsi" w:hAnsi="Arial" w:cs="Arial"/>
          <w:sz w:val="20"/>
          <w:szCs w:val="20"/>
          <w:lang w:val="en-GB"/>
        </w:rPr>
        <w:t xml:space="preserve"> </w:t>
      </w:r>
      <w:r w:rsidRPr="00D23AFA">
        <w:rPr>
          <w:rFonts w:ascii="Arial" w:eastAsiaTheme="minorHAnsi" w:hAnsi="Arial" w:cs="Arial"/>
          <w:sz w:val="20"/>
          <w:szCs w:val="20"/>
          <w:lang w:val="en-GB"/>
        </w:rPr>
        <w:t>imposed a disciplinary punishment on under separate legal regulations, where demonstration of</w:t>
      </w:r>
      <w:r w:rsidR="001A27A1" w:rsidRPr="00D23AFA">
        <w:rPr>
          <w:rFonts w:ascii="Arial" w:eastAsiaTheme="minorHAnsi" w:hAnsi="Arial" w:cs="Arial"/>
          <w:sz w:val="20"/>
          <w:szCs w:val="20"/>
          <w:lang w:val="en-GB"/>
        </w:rPr>
        <w:t xml:space="preserve"> </w:t>
      </w:r>
      <w:r w:rsidRPr="00D23AFA">
        <w:rPr>
          <w:rFonts w:ascii="Arial" w:eastAsiaTheme="minorHAnsi" w:hAnsi="Arial" w:cs="Arial"/>
          <w:sz w:val="20"/>
          <w:szCs w:val="20"/>
          <w:lang w:val="en-GB"/>
        </w:rPr>
        <w:t>professional qualifications under separate legal regulations is required pursuant to § 54</w:t>
      </w:r>
      <w:r w:rsidR="001A27A1" w:rsidRPr="00D23AFA">
        <w:rPr>
          <w:rFonts w:ascii="Arial" w:eastAsiaTheme="minorHAnsi" w:hAnsi="Arial" w:cs="Arial"/>
          <w:sz w:val="20"/>
          <w:szCs w:val="20"/>
          <w:lang w:val="en-GB"/>
        </w:rPr>
        <w:t xml:space="preserve"> </w:t>
      </w:r>
      <w:r w:rsidRPr="00D23AFA">
        <w:rPr>
          <w:rFonts w:ascii="Arial" w:eastAsiaTheme="minorHAnsi" w:hAnsi="Arial" w:cs="Arial"/>
          <w:sz w:val="20"/>
          <w:szCs w:val="20"/>
          <w:lang w:val="en-GB"/>
        </w:rPr>
        <w:t>(d); when the</w:t>
      </w:r>
      <w:r w:rsidR="001A27A1" w:rsidRPr="00D23AFA">
        <w:rPr>
          <w:rFonts w:ascii="Arial" w:eastAsiaTheme="minorHAnsi" w:hAnsi="Arial" w:cs="Arial"/>
          <w:sz w:val="20"/>
          <w:szCs w:val="20"/>
          <w:lang w:val="en-GB"/>
        </w:rPr>
        <w:t xml:space="preserve"> </w:t>
      </w:r>
      <w:r w:rsidRPr="00D23AFA">
        <w:rPr>
          <w:rFonts w:ascii="Arial" w:eastAsiaTheme="minorHAnsi" w:hAnsi="Arial" w:cs="Arial"/>
          <w:sz w:val="20"/>
          <w:szCs w:val="20"/>
          <w:lang w:val="en-GB"/>
        </w:rPr>
        <w:t>economic operator pursues such an activity through a person in authority or any other person liable for the</w:t>
      </w:r>
      <w:r w:rsidR="001A27A1" w:rsidRPr="00D23AFA">
        <w:rPr>
          <w:rFonts w:ascii="Arial" w:eastAsiaTheme="minorHAnsi" w:hAnsi="Arial" w:cs="Arial"/>
          <w:sz w:val="20"/>
          <w:szCs w:val="20"/>
          <w:lang w:val="en-GB"/>
        </w:rPr>
        <w:t xml:space="preserve"> </w:t>
      </w:r>
      <w:r w:rsidRPr="00D23AFA">
        <w:rPr>
          <w:rFonts w:ascii="Arial" w:eastAsiaTheme="minorHAnsi" w:hAnsi="Arial" w:cs="Arial"/>
          <w:sz w:val="20"/>
          <w:szCs w:val="20"/>
          <w:lang w:val="en-GB"/>
        </w:rPr>
        <w:t>activity of an economic operator, this prerequisite shall be applicable to those persons,</w:t>
      </w:r>
    </w:p>
    <w:p w:rsidR="00ED04AD" w:rsidRPr="00D23AFA" w:rsidRDefault="00ED04AD" w:rsidP="00ED04AD">
      <w:pPr>
        <w:autoSpaceDE w:val="0"/>
        <w:autoSpaceDN w:val="0"/>
        <w:adjustRightInd w:val="0"/>
        <w:spacing w:after="0" w:line="240" w:lineRule="auto"/>
        <w:jc w:val="both"/>
        <w:rPr>
          <w:rFonts w:ascii="Arial" w:eastAsiaTheme="minorHAnsi" w:hAnsi="Arial" w:cs="Arial"/>
          <w:sz w:val="20"/>
          <w:szCs w:val="20"/>
          <w:lang w:val="en-GB"/>
        </w:rPr>
      </w:pPr>
    </w:p>
    <w:p w:rsidR="00ED04AD" w:rsidRPr="00D23AFA" w:rsidRDefault="00ED04AD" w:rsidP="00ED04AD">
      <w:pPr>
        <w:autoSpaceDE w:val="0"/>
        <w:autoSpaceDN w:val="0"/>
        <w:adjustRightInd w:val="0"/>
        <w:spacing w:after="0" w:line="240" w:lineRule="auto"/>
        <w:jc w:val="both"/>
        <w:rPr>
          <w:rFonts w:ascii="Arial" w:eastAsiaTheme="minorHAnsi" w:hAnsi="Arial" w:cs="Arial"/>
          <w:sz w:val="20"/>
          <w:szCs w:val="20"/>
          <w:lang w:val="en-GB"/>
        </w:rPr>
      </w:pPr>
      <w:r w:rsidRPr="00D23AFA">
        <w:rPr>
          <w:rFonts w:ascii="Arial" w:eastAsiaTheme="minorHAnsi" w:hAnsi="Arial" w:cs="Arial"/>
          <w:sz w:val="20"/>
          <w:szCs w:val="20"/>
          <w:lang w:val="en-GB"/>
        </w:rPr>
        <w:t xml:space="preserve">(j) </w:t>
      </w:r>
      <w:proofErr w:type="gramStart"/>
      <w:r w:rsidRPr="00D23AFA">
        <w:rPr>
          <w:rFonts w:ascii="Arial" w:eastAsiaTheme="minorHAnsi" w:hAnsi="Arial" w:cs="Arial"/>
          <w:sz w:val="20"/>
          <w:szCs w:val="20"/>
          <w:lang w:val="en-GB"/>
        </w:rPr>
        <w:t>is</w:t>
      </w:r>
      <w:proofErr w:type="gramEnd"/>
      <w:r w:rsidRPr="00D23AFA">
        <w:rPr>
          <w:rFonts w:ascii="Arial" w:eastAsiaTheme="minorHAnsi" w:hAnsi="Arial" w:cs="Arial"/>
          <w:sz w:val="20"/>
          <w:szCs w:val="20"/>
          <w:lang w:val="en-GB"/>
        </w:rPr>
        <w:t xml:space="preserve"> not enrolled on the black list of persons banned to participate in the performance of public contracts</w:t>
      </w:r>
      <w:r w:rsidR="001A27A1" w:rsidRPr="00D23AFA">
        <w:rPr>
          <w:rFonts w:ascii="Arial" w:eastAsiaTheme="minorHAnsi" w:hAnsi="Arial" w:cs="Arial"/>
          <w:sz w:val="20"/>
          <w:szCs w:val="20"/>
          <w:lang w:val="en-GB"/>
        </w:rPr>
        <w:t xml:space="preserve"> </w:t>
      </w:r>
      <w:r w:rsidR="005A39BF" w:rsidRPr="00D23AFA">
        <w:rPr>
          <w:rFonts w:ascii="Arial" w:eastAsiaTheme="minorHAnsi" w:hAnsi="Arial" w:cs="Arial"/>
          <w:sz w:val="20"/>
          <w:szCs w:val="20"/>
          <w:lang w:val="en-GB"/>
        </w:rPr>
        <w:t>and</w:t>
      </w:r>
    </w:p>
    <w:p w:rsidR="00ED04AD" w:rsidRPr="00D23AFA" w:rsidRDefault="00ED04AD" w:rsidP="00ED04AD">
      <w:pPr>
        <w:autoSpaceDE w:val="0"/>
        <w:autoSpaceDN w:val="0"/>
        <w:adjustRightInd w:val="0"/>
        <w:spacing w:after="0" w:line="240" w:lineRule="auto"/>
        <w:jc w:val="both"/>
        <w:rPr>
          <w:rFonts w:ascii="Arial" w:eastAsiaTheme="minorHAnsi" w:hAnsi="Arial" w:cs="Arial"/>
          <w:sz w:val="20"/>
          <w:szCs w:val="20"/>
          <w:lang w:val="en-GB"/>
        </w:rPr>
      </w:pPr>
    </w:p>
    <w:p w:rsidR="00B82BA9" w:rsidRDefault="005A39BF" w:rsidP="006044FE">
      <w:pPr>
        <w:autoSpaceDE w:val="0"/>
        <w:autoSpaceDN w:val="0"/>
        <w:adjustRightInd w:val="0"/>
        <w:spacing w:after="0" w:line="240" w:lineRule="auto"/>
        <w:rPr>
          <w:rFonts w:ascii="Arial" w:eastAsiaTheme="minorHAnsi" w:hAnsi="Arial" w:cs="Arial"/>
          <w:sz w:val="20"/>
          <w:szCs w:val="20"/>
          <w:lang w:val="en-GB"/>
        </w:rPr>
      </w:pPr>
      <w:r w:rsidRPr="00D23AFA">
        <w:rPr>
          <w:rFonts w:ascii="Arial" w:eastAsiaTheme="minorHAnsi" w:hAnsi="Arial" w:cs="Arial"/>
          <w:sz w:val="20"/>
          <w:szCs w:val="20"/>
          <w:lang w:val="en-GB"/>
        </w:rPr>
        <w:t xml:space="preserve">(k) </w:t>
      </w:r>
      <w:proofErr w:type="gramStart"/>
      <w:r w:rsidRPr="00D23AFA">
        <w:rPr>
          <w:rFonts w:ascii="Arial" w:eastAsiaTheme="minorHAnsi" w:hAnsi="Arial" w:cs="Arial"/>
          <w:sz w:val="20"/>
          <w:szCs w:val="20"/>
          <w:lang w:val="en-GB"/>
        </w:rPr>
        <w:t>has</w:t>
      </w:r>
      <w:proofErr w:type="gramEnd"/>
      <w:r w:rsidRPr="00D23AFA">
        <w:rPr>
          <w:rFonts w:ascii="Arial" w:eastAsiaTheme="minorHAnsi" w:hAnsi="Arial" w:cs="Arial"/>
          <w:sz w:val="20"/>
          <w:szCs w:val="20"/>
          <w:lang w:val="en-GB"/>
        </w:rPr>
        <w:t xml:space="preserve"> not been imposed any effective penalty on</w:t>
      </w:r>
      <w:r w:rsidR="001A27A1" w:rsidRPr="00D23AFA">
        <w:rPr>
          <w:rFonts w:ascii="Arial" w:eastAsiaTheme="minorHAnsi" w:hAnsi="Arial" w:cs="Arial"/>
          <w:sz w:val="20"/>
          <w:szCs w:val="20"/>
          <w:lang w:val="en-GB"/>
        </w:rPr>
        <w:t xml:space="preserve"> in the preceding 3 years for facilitating the performance of illegal work under separate legal </w:t>
      </w:r>
      <w:proofErr w:type="spellStart"/>
      <w:r w:rsidR="001A27A1" w:rsidRPr="00D23AFA">
        <w:rPr>
          <w:rFonts w:ascii="Arial" w:eastAsiaTheme="minorHAnsi" w:hAnsi="Arial" w:cs="Arial"/>
          <w:sz w:val="20"/>
          <w:szCs w:val="20"/>
          <w:lang w:val="en-GB"/>
        </w:rPr>
        <w:t>regulativ</w:t>
      </w:r>
      <w:proofErr w:type="spellEnd"/>
      <w:r w:rsidR="001A27A1" w:rsidRPr="00D23AFA">
        <w:rPr>
          <w:rFonts w:ascii="Arial" w:eastAsiaTheme="minorHAnsi" w:hAnsi="Arial" w:cs="Arial"/>
          <w:sz w:val="20"/>
          <w:szCs w:val="20"/>
          <w:lang w:val="en-GB"/>
        </w:rPr>
        <w:t>.</w:t>
      </w:r>
    </w:p>
    <w:p w:rsidR="006044FE" w:rsidRPr="006044FE" w:rsidRDefault="006044FE" w:rsidP="006044FE">
      <w:pPr>
        <w:autoSpaceDE w:val="0"/>
        <w:autoSpaceDN w:val="0"/>
        <w:adjustRightInd w:val="0"/>
        <w:spacing w:after="0" w:line="240" w:lineRule="auto"/>
        <w:rPr>
          <w:rFonts w:ascii="Arial" w:eastAsiaTheme="minorHAnsi" w:hAnsi="Arial" w:cs="Arial"/>
          <w:sz w:val="20"/>
          <w:szCs w:val="20"/>
          <w:lang w:val="en-GB"/>
        </w:rPr>
      </w:pPr>
    </w:p>
    <w:p w:rsidR="00B82BA9" w:rsidRDefault="00B82BA9" w:rsidP="00B82BA9">
      <w:pPr>
        <w:jc w:val="both"/>
        <w:rPr>
          <w:rFonts w:ascii="Arial" w:hAnsi="Arial" w:cs="Arial"/>
          <w:b/>
          <w:i/>
          <w:sz w:val="20"/>
          <w:szCs w:val="20"/>
          <w:lang w:val="en-GB"/>
        </w:rPr>
      </w:pPr>
      <w:r w:rsidRPr="00D23AFA">
        <w:rPr>
          <w:rFonts w:ascii="Arial" w:hAnsi="Arial" w:cs="Arial"/>
          <w:b/>
          <w:sz w:val="20"/>
          <w:szCs w:val="20"/>
          <w:lang w:val="en-GB"/>
        </w:rPr>
        <w:t>Supplier shall demonstrate compliance with the basic and professional qualification requirements by submitting an affidavit. Affidavit must be signed by a person authorized to act on behalf of the candidate</w:t>
      </w:r>
      <w:r w:rsidRPr="00D23AFA">
        <w:rPr>
          <w:rFonts w:ascii="Arial" w:hAnsi="Arial" w:cs="Arial"/>
          <w:sz w:val="20"/>
          <w:szCs w:val="20"/>
          <w:lang w:val="en-GB"/>
        </w:rPr>
        <w:t>.</w:t>
      </w:r>
      <w:r w:rsidR="00527A14">
        <w:rPr>
          <w:rFonts w:ascii="Arial" w:hAnsi="Arial" w:cs="Arial"/>
          <w:sz w:val="20"/>
          <w:szCs w:val="20"/>
          <w:lang w:val="en-GB"/>
        </w:rPr>
        <w:t xml:space="preserve"> </w:t>
      </w:r>
    </w:p>
    <w:p w:rsidR="003671A5" w:rsidRPr="003671A5" w:rsidRDefault="003671A5" w:rsidP="003671A5">
      <w:pPr>
        <w:pStyle w:val="Odstavecseseznamem"/>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Arial" w:hAnsi="Arial" w:cs="Arial"/>
          <w:b/>
          <w:sz w:val="20"/>
          <w:szCs w:val="20"/>
          <w:lang w:val="en-GB"/>
        </w:rPr>
      </w:pPr>
      <w:r w:rsidRPr="003671A5">
        <w:rPr>
          <w:rFonts w:ascii="Arial" w:hAnsi="Arial" w:cs="Arial"/>
          <w:b/>
          <w:sz w:val="20"/>
          <w:szCs w:val="20"/>
          <w:lang w:val="en-GB"/>
        </w:rPr>
        <w:t>PROFESSIONAL QUALIFICATIONS</w:t>
      </w:r>
    </w:p>
    <w:p w:rsidR="003671A5" w:rsidRPr="003671A5" w:rsidRDefault="003671A5" w:rsidP="003671A5">
      <w:pPr>
        <w:jc w:val="both"/>
        <w:rPr>
          <w:rFonts w:ascii="Arial" w:hAnsi="Arial" w:cs="Arial"/>
          <w:sz w:val="20"/>
          <w:szCs w:val="20"/>
          <w:lang w:val="en-GB"/>
        </w:rPr>
      </w:pPr>
      <w:r w:rsidRPr="003671A5">
        <w:rPr>
          <w:rFonts w:ascii="Arial" w:hAnsi="Arial" w:cs="Arial"/>
          <w:sz w:val="20"/>
          <w:szCs w:val="20"/>
          <w:lang w:val="en-GB"/>
        </w:rPr>
        <w:t>Professional qualifications meet the candidate who demonstrates:</w:t>
      </w:r>
    </w:p>
    <w:p w:rsidR="003671A5" w:rsidRPr="003671A5" w:rsidRDefault="003671A5" w:rsidP="003671A5">
      <w:pPr>
        <w:pStyle w:val="Odstavecseseznamem"/>
        <w:ind w:left="360"/>
        <w:jc w:val="both"/>
        <w:rPr>
          <w:rFonts w:ascii="Arial" w:hAnsi="Arial" w:cs="Arial"/>
          <w:sz w:val="20"/>
          <w:szCs w:val="20"/>
          <w:lang w:val="en-GB"/>
        </w:rPr>
      </w:pPr>
      <w:r w:rsidRPr="003671A5">
        <w:rPr>
          <w:rFonts w:ascii="Arial" w:hAnsi="Arial" w:cs="Arial"/>
          <w:sz w:val="20"/>
          <w:szCs w:val="20"/>
          <w:lang w:val="en-GB"/>
        </w:rPr>
        <w:t>a) Compliance with professional qualification proves contractor who submitted the certificate of incorporation, if it is registered, or an extract from a similar register, if it is registered.</w:t>
      </w:r>
    </w:p>
    <w:p w:rsidR="003671A5" w:rsidRPr="003671A5" w:rsidRDefault="003671A5" w:rsidP="003671A5">
      <w:pPr>
        <w:pStyle w:val="Odstavecseseznamem"/>
        <w:ind w:left="360"/>
        <w:jc w:val="both"/>
        <w:rPr>
          <w:rFonts w:ascii="Arial" w:hAnsi="Arial" w:cs="Arial"/>
          <w:sz w:val="20"/>
          <w:szCs w:val="20"/>
          <w:lang w:val="en-GB"/>
        </w:rPr>
      </w:pPr>
    </w:p>
    <w:p w:rsidR="003671A5" w:rsidRDefault="003671A5" w:rsidP="003671A5">
      <w:pPr>
        <w:pStyle w:val="Odstavecseseznamem"/>
        <w:ind w:left="360"/>
        <w:jc w:val="both"/>
        <w:rPr>
          <w:rFonts w:ascii="Arial" w:hAnsi="Arial" w:cs="Arial"/>
          <w:sz w:val="20"/>
          <w:szCs w:val="20"/>
          <w:lang w:val="en-GB"/>
        </w:rPr>
      </w:pPr>
      <w:r w:rsidRPr="003671A5">
        <w:rPr>
          <w:rFonts w:ascii="Arial" w:hAnsi="Arial" w:cs="Arial"/>
          <w:sz w:val="20"/>
          <w:szCs w:val="20"/>
          <w:lang w:val="en-GB"/>
        </w:rPr>
        <w:t>b) Compliance with professional qualification proves supplier who provides proof of authorization to do business under special laws to the extent that the subject contract, in particular a document proving the business permission or license.</w:t>
      </w:r>
    </w:p>
    <w:p w:rsidR="003671A5" w:rsidRDefault="003671A5" w:rsidP="003671A5">
      <w:pPr>
        <w:jc w:val="both"/>
        <w:rPr>
          <w:rFonts w:ascii="Arial" w:hAnsi="Arial" w:cs="Arial"/>
          <w:b/>
          <w:i/>
          <w:sz w:val="20"/>
          <w:szCs w:val="20"/>
          <w:lang w:val="en-GB"/>
        </w:rPr>
      </w:pPr>
      <w:r w:rsidRPr="00D23AFA">
        <w:rPr>
          <w:rFonts w:ascii="Arial" w:hAnsi="Arial" w:cs="Arial"/>
          <w:b/>
          <w:sz w:val="20"/>
          <w:szCs w:val="20"/>
          <w:lang w:val="en-GB"/>
        </w:rPr>
        <w:t>Supplier shall demonstrate compliance with the basic and professional qualification requirements by submitting an affidavit. Affidavit must be signed by a person authorized to act on behalf of the candidate</w:t>
      </w:r>
      <w:r w:rsidRPr="00D23AFA">
        <w:rPr>
          <w:rFonts w:ascii="Arial" w:hAnsi="Arial" w:cs="Arial"/>
          <w:sz w:val="20"/>
          <w:szCs w:val="20"/>
          <w:lang w:val="en-GB"/>
        </w:rPr>
        <w:t>.</w:t>
      </w:r>
      <w:r>
        <w:rPr>
          <w:rFonts w:ascii="Arial" w:hAnsi="Arial" w:cs="Arial"/>
          <w:sz w:val="20"/>
          <w:szCs w:val="20"/>
          <w:lang w:val="en-GB"/>
        </w:rPr>
        <w:t xml:space="preserve"> </w:t>
      </w:r>
    </w:p>
    <w:p w:rsidR="003671A5" w:rsidRPr="003671A5" w:rsidRDefault="003671A5" w:rsidP="003671A5">
      <w:pPr>
        <w:pStyle w:val="Odstavecseseznamem"/>
        <w:ind w:left="360"/>
        <w:jc w:val="both"/>
        <w:rPr>
          <w:rFonts w:ascii="Arial" w:hAnsi="Arial" w:cs="Arial"/>
          <w:sz w:val="20"/>
          <w:szCs w:val="20"/>
          <w:lang w:val="en-GB"/>
        </w:rPr>
      </w:pPr>
    </w:p>
    <w:p w:rsidR="00ED04AD" w:rsidRPr="00D23AFA" w:rsidRDefault="00ED04AD" w:rsidP="00ED04AD">
      <w:pPr>
        <w:pStyle w:val="Odstavecseseznamem"/>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caps/>
          <w:sz w:val="20"/>
          <w:szCs w:val="20"/>
          <w:lang w:val="en-GB"/>
        </w:rPr>
      </w:pPr>
      <w:r w:rsidRPr="00D23AFA">
        <w:rPr>
          <w:rFonts w:ascii="Arial" w:hAnsi="Arial" w:cs="Arial"/>
          <w:b/>
          <w:caps/>
          <w:sz w:val="20"/>
          <w:szCs w:val="20"/>
          <w:lang w:val="en-GB"/>
        </w:rPr>
        <w:t xml:space="preserve">The </w:t>
      </w:r>
      <w:r w:rsidR="00A52975" w:rsidRPr="00D23AFA">
        <w:rPr>
          <w:rFonts w:ascii="Arial" w:hAnsi="Arial" w:cs="Arial"/>
          <w:b/>
          <w:caps/>
          <w:sz w:val="20"/>
          <w:szCs w:val="20"/>
          <w:lang w:val="en-GB"/>
        </w:rPr>
        <w:t>m</w:t>
      </w:r>
      <w:r w:rsidRPr="00D23AFA">
        <w:rPr>
          <w:rFonts w:ascii="Arial" w:hAnsi="Arial" w:cs="Arial"/>
          <w:b/>
          <w:caps/>
          <w:sz w:val="20"/>
          <w:szCs w:val="20"/>
          <w:lang w:val="en-GB"/>
        </w:rPr>
        <w:t xml:space="preserve">ethod of  </w:t>
      </w:r>
      <w:r w:rsidR="00A52975" w:rsidRPr="00D23AFA">
        <w:rPr>
          <w:rFonts w:ascii="Arial" w:hAnsi="Arial" w:cs="Arial"/>
          <w:b/>
          <w:caps/>
          <w:sz w:val="20"/>
          <w:szCs w:val="20"/>
          <w:lang w:val="en-GB"/>
        </w:rPr>
        <w:t>e</w:t>
      </w:r>
      <w:r w:rsidRPr="00D23AFA">
        <w:rPr>
          <w:rFonts w:ascii="Arial" w:hAnsi="Arial" w:cs="Arial"/>
          <w:b/>
          <w:caps/>
          <w:sz w:val="20"/>
          <w:szCs w:val="20"/>
          <w:lang w:val="en-GB"/>
        </w:rPr>
        <w:t>valuating</w:t>
      </w:r>
      <w:r w:rsidR="00A52975" w:rsidRPr="00D23AFA">
        <w:rPr>
          <w:rFonts w:ascii="Arial" w:hAnsi="Arial" w:cs="Arial"/>
          <w:b/>
          <w:caps/>
          <w:sz w:val="20"/>
          <w:szCs w:val="20"/>
          <w:lang w:val="en-GB"/>
        </w:rPr>
        <w:t xml:space="preserve"> tenders</w:t>
      </w:r>
    </w:p>
    <w:p w:rsidR="00BE7A9D" w:rsidRPr="007B4AD1" w:rsidRDefault="00BE7A9D" w:rsidP="00BE7A9D">
      <w:pPr>
        <w:rPr>
          <w:rFonts w:ascii="Arial" w:hAnsi="Arial" w:cs="Arial"/>
          <w:sz w:val="20"/>
          <w:szCs w:val="20"/>
          <w:u w:val="single"/>
          <w:lang w:val="en-GB"/>
        </w:rPr>
      </w:pPr>
      <w:r w:rsidRPr="007B4AD1">
        <w:rPr>
          <w:rFonts w:ascii="Arial" w:hAnsi="Arial" w:cs="Arial"/>
          <w:b/>
          <w:sz w:val="20"/>
          <w:szCs w:val="20"/>
          <w:u w:val="single"/>
          <w:lang w:val="en-GB"/>
        </w:rPr>
        <w:t>The basic assessment criterion –</w:t>
      </w:r>
      <w:r w:rsidRPr="007B4AD1">
        <w:rPr>
          <w:rFonts w:ascii="Arial" w:hAnsi="Arial" w:cs="Arial"/>
          <w:sz w:val="20"/>
          <w:szCs w:val="20"/>
          <w:u w:val="single"/>
          <w:lang w:val="en-GB"/>
        </w:rPr>
        <w:t xml:space="preserve"> </w:t>
      </w:r>
      <w:r w:rsidR="00ED04AD" w:rsidRPr="007B4AD1">
        <w:rPr>
          <w:rFonts w:ascii="Arial" w:hAnsi="Arial" w:cs="Arial"/>
          <w:b/>
          <w:sz w:val="20"/>
          <w:szCs w:val="20"/>
          <w:u w:val="single"/>
          <w:lang w:val="en-GB"/>
        </w:rPr>
        <w:t>the lowest tender price</w:t>
      </w:r>
      <w:r w:rsidR="003671A5" w:rsidRPr="007B4AD1">
        <w:rPr>
          <w:rFonts w:ascii="Arial" w:hAnsi="Arial" w:cs="Arial"/>
          <w:sz w:val="20"/>
          <w:szCs w:val="20"/>
          <w:u w:val="single"/>
          <w:lang w:val="en-GB"/>
        </w:rPr>
        <w:t xml:space="preserve"> </w:t>
      </w:r>
      <w:r w:rsidR="003671A5" w:rsidRPr="007B4AD1">
        <w:rPr>
          <w:rFonts w:ascii="Arial" w:hAnsi="Arial" w:cs="Arial"/>
          <w:b/>
          <w:sz w:val="20"/>
          <w:szCs w:val="20"/>
          <w:u w:val="single"/>
          <w:lang w:val="en-GB"/>
        </w:rPr>
        <w:t>in EUR without VAT</w:t>
      </w:r>
    </w:p>
    <w:p w:rsidR="00ED04AD" w:rsidRPr="00D23AFA" w:rsidRDefault="00ED04AD" w:rsidP="00ED04AD">
      <w:pPr>
        <w:pStyle w:val="Odstavecseseznamem"/>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caps/>
          <w:sz w:val="20"/>
          <w:szCs w:val="20"/>
          <w:lang w:val="en-GB"/>
        </w:rPr>
      </w:pPr>
      <w:r w:rsidRPr="00D23AFA">
        <w:rPr>
          <w:rFonts w:ascii="Arial" w:hAnsi="Arial" w:cs="Arial"/>
          <w:b/>
          <w:caps/>
          <w:sz w:val="20"/>
          <w:szCs w:val="20"/>
          <w:lang w:val="en-GB"/>
        </w:rPr>
        <w:lastRenderedPageBreak/>
        <w:t xml:space="preserve">The </w:t>
      </w:r>
      <w:r w:rsidR="00A52975" w:rsidRPr="00D23AFA">
        <w:rPr>
          <w:rFonts w:ascii="Arial" w:hAnsi="Arial" w:cs="Arial"/>
          <w:b/>
          <w:caps/>
          <w:sz w:val="20"/>
          <w:szCs w:val="20"/>
          <w:lang w:val="en-GB"/>
        </w:rPr>
        <w:t>r</w:t>
      </w:r>
      <w:r w:rsidRPr="00D23AFA">
        <w:rPr>
          <w:rFonts w:ascii="Arial" w:hAnsi="Arial" w:cs="Arial"/>
          <w:b/>
          <w:caps/>
          <w:sz w:val="20"/>
          <w:szCs w:val="20"/>
          <w:lang w:val="en-GB"/>
        </w:rPr>
        <w:t xml:space="preserve">equirement to </w:t>
      </w:r>
      <w:r w:rsidR="00A52975" w:rsidRPr="00D23AFA">
        <w:rPr>
          <w:rFonts w:ascii="Arial" w:hAnsi="Arial" w:cs="Arial"/>
          <w:b/>
          <w:caps/>
          <w:sz w:val="20"/>
          <w:szCs w:val="20"/>
          <w:lang w:val="en-GB"/>
        </w:rPr>
        <w:t>provide a</w:t>
      </w:r>
      <w:r w:rsidRPr="00D23AFA">
        <w:rPr>
          <w:rFonts w:ascii="Arial" w:hAnsi="Arial" w:cs="Arial"/>
          <w:b/>
          <w:caps/>
          <w:sz w:val="20"/>
          <w:szCs w:val="20"/>
          <w:lang w:val="en-GB"/>
        </w:rPr>
        <w:t xml:space="preserve"> </w:t>
      </w:r>
      <w:r w:rsidR="00A52975" w:rsidRPr="00D23AFA">
        <w:rPr>
          <w:rFonts w:ascii="Arial" w:hAnsi="Arial" w:cs="Arial"/>
          <w:b/>
          <w:caps/>
          <w:sz w:val="20"/>
          <w:szCs w:val="20"/>
          <w:lang w:val="en-GB"/>
        </w:rPr>
        <w:t>security</w:t>
      </w:r>
      <w:r w:rsidRPr="00D23AFA">
        <w:rPr>
          <w:rFonts w:ascii="Arial" w:hAnsi="Arial" w:cs="Arial"/>
          <w:b/>
          <w:caps/>
          <w:sz w:val="20"/>
          <w:szCs w:val="20"/>
          <w:lang w:val="en-GB"/>
        </w:rPr>
        <w:t xml:space="preserve"> guarantee</w:t>
      </w:r>
    </w:p>
    <w:p w:rsidR="00BE7A9D" w:rsidRPr="00D23AFA" w:rsidRDefault="00BE7A9D" w:rsidP="00BE7A9D">
      <w:pPr>
        <w:rPr>
          <w:rFonts w:ascii="Arial" w:hAnsi="Arial" w:cs="Arial"/>
          <w:sz w:val="20"/>
          <w:szCs w:val="20"/>
          <w:lang w:val="en-GB"/>
        </w:rPr>
      </w:pPr>
      <w:r w:rsidRPr="00D23AFA">
        <w:rPr>
          <w:rFonts w:ascii="Arial" w:hAnsi="Arial" w:cs="Arial"/>
          <w:sz w:val="20"/>
          <w:szCs w:val="20"/>
          <w:lang w:val="en-GB"/>
        </w:rPr>
        <w:t xml:space="preserve"> The </w:t>
      </w:r>
      <w:r w:rsidR="00DA5619" w:rsidRPr="00D23AFA">
        <w:rPr>
          <w:rFonts w:ascii="Arial" w:hAnsi="Arial" w:cs="Arial"/>
          <w:sz w:val="20"/>
          <w:szCs w:val="20"/>
          <w:lang w:val="en-GB"/>
        </w:rPr>
        <w:t>C</w:t>
      </w:r>
      <w:r w:rsidRPr="00D23AFA">
        <w:rPr>
          <w:rFonts w:ascii="Arial" w:hAnsi="Arial" w:cs="Arial"/>
          <w:sz w:val="20"/>
          <w:szCs w:val="20"/>
          <w:lang w:val="en-GB"/>
        </w:rPr>
        <w:t>ontracting authority does not require a security guarantee.</w:t>
      </w:r>
    </w:p>
    <w:p w:rsidR="00ED04AD" w:rsidRPr="00D23AFA" w:rsidRDefault="00ED04AD" w:rsidP="00ED04AD">
      <w:pPr>
        <w:pStyle w:val="Odstavecseseznamem"/>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caps/>
          <w:sz w:val="20"/>
          <w:szCs w:val="20"/>
          <w:lang w:val="en-GB"/>
        </w:rPr>
      </w:pPr>
      <w:r w:rsidRPr="00D23AFA">
        <w:rPr>
          <w:rFonts w:ascii="Arial" w:hAnsi="Arial" w:cs="Arial"/>
          <w:b/>
          <w:caps/>
          <w:sz w:val="20"/>
          <w:szCs w:val="20"/>
          <w:lang w:val="en-GB"/>
        </w:rPr>
        <w:t xml:space="preserve">Conditions and </w:t>
      </w:r>
      <w:r w:rsidR="00CD538C" w:rsidRPr="00D23AFA">
        <w:rPr>
          <w:rFonts w:ascii="Arial" w:hAnsi="Arial" w:cs="Arial"/>
          <w:b/>
          <w:caps/>
          <w:sz w:val="20"/>
          <w:szCs w:val="20"/>
          <w:lang w:val="en-GB"/>
        </w:rPr>
        <w:t>r</w:t>
      </w:r>
      <w:r w:rsidRPr="00D23AFA">
        <w:rPr>
          <w:rFonts w:ascii="Arial" w:hAnsi="Arial" w:cs="Arial"/>
          <w:b/>
          <w:caps/>
          <w:sz w:val="20"/>
          <w:szCs w:val="20"/>
          <w:lang w:val="en-GB"/>
        </w:rPr>
        <w:t xml:space="preserve">equirements for </w:t>
      </w:r>
      <w:r w:rsidR="00A52975" w:rsidRPr="00D23AFA">
        <w:rPr>
          <w:rFonts w:ascii="Arial" w:hAnsi="Arial" w:cs="Arial"/>
          <w:b/>
          <w:caps/>
          <w:sz w:val="20"/>
          <w:szCs w:val="20"/>
          <w:lang w:val="en-GB"/>
        </w:rPr>
        <w:t>tender processing</w:t>
      </w:r>
    </w:p>
    <w:p w:rsidR="009D39DF" w:rsidRPr="009D39DF" w:rsidRDefault="009D39DF" w:rsidP="00DE2AD4">
      <w:pPr>
        <w:spacing w:after="0"/>
        <w:rPr>
          <w:rFonts w:ascii="Arial" w:hAnsi="Arial" w:cs="Arial"/>
          <w:sz w:val="20"/>
          <w:szCs w:val="20"/>
          <w:lang w:val="en-GB"/>
        </w:rPr>
      </w:pPr>
      <w:r>
        <w:rPr>
          <w:rFonts w:ascii="Arial" w:hAnsi="Arial" w:cs="Arial"/>
          <w:sz w:val="20"/>
          <w:szCs w:val="20"/>
          <w:lang w:val="en-GB"/>
        </w:rPr>
        <w:t>1)</w:t>
      </w:r>
      <w:r w:rsidR="00120FCA">
        <w:rPr>
          <w:rFonts w:ascii="Arial" w:hAnsi="Arial" w:cs="Arial"/>
          <w:sz w:val="20"/>
          <w:szCs w:val="20"/>
          <w:lang w:val="en-GB"/>
        </w:rPr>
        <w:t xml:space="preserve"> </w:t>
      </w:r>
      <w:proofErr w:type="gramStart"/>
      <w:r w:rsidRPr="009D39DF">
        <w:rPr>
          <w:rFonts w:ascii="Arial" w:hAnsi="Arial" w:cs="Arial"/>
          <w:sz w:val="20"/>
          <w:szCs w:val="20"/>
          <w:lang w:val="en-GB"/>
        </w:rPr>
        <w:t>tender</w:t>
      </w:r>
      <w:proofErr w:type="gramEnd"/>
      <w:r w:rsidRPr="009D39DF">
        <w:rPr>
          <w:rFonts w:ascii="Arial" w:hAnsi="Arial" w:cs="Arial"/>
          <w:sz w:val="20"/>
          <w:szCs w:val="20"/>
          <w:lang w:val="en-GB"/>
        </w:rPr>
        <w:t xml:space="preserve"> will be submitted in original, written in Czech or English language.</w:t>
      </w:r>
    </w:p>
    <w:p w:rsidR="009D39DF" w:rsidRPr="009D39DF" w:rsidRDefault="009D39DF" w:rsidP="00DE2AD4">
      <w:pPr>
        <w:spacing w:after="0"/>
        <w:rPr>
          <w:rFonts w:ascii="Arial" w:hAnsi="Arial" w:cs="Arial"/>
          <w:sz w:val="20"/>
          <w:szCs w:val="20"/>
          <w:lang w:val="en-GB"/>
        </w:rPr>
      </w:pPr>
      <w:r w:rsidRPr="009D39DF">
        <w:rPr>
          <w:rFonts w:ascii="Arial" w:hAnsi="Arial" w:cs="Arial"/>
          <w:sz w:val="20"/>
          <w:szCs w:val="20"/>
          <w:lang w:val="en-GB"/>
        </w:rPr>
        <w:t xml:space="preserve">2) </w:t>
      </w:r>
      <w:proofErr w:type="gramStart"/>
      <w:r w:rsidRPr="009D39DF">
        <w:rPr>
          <w:rFonts w:ascii="Arial" w:hAnsi="Arial" w:cs="Arial"/>
          <w:sz w:val="20"/>
          <w:szCs w:val="20"/>
          <w:lang w:val="en-GB"/>
        </w:rPr>
        <w:t>tender</w:t>
      </w:r>
      <w:proofErr w:type="gramEnd"/>
      <w:r w:rsidRPr="009D39DF">
        <w:rPr>
          <w:rFonts w:ascii="Arial" w:hAnsi="Arial" w:cs="Arial"/>
          <w:sz w:val="20"/>
          <w:szCs w:val="20"/>
          <w:lang w:val="en-GB"/>
        </w:rPr>
        <w:t xml:space="preserve"> does not include transcripts and repairs that could mislead authority.</w:t>
      </w:r>
    </w:p>
    <w:p w:rsidR="009D39DF" w:rsidRPr="009D39DF" w:rsidRDefault="009D39DF" w:rsidP="00DE2AD4">
      <w:pPr>
        <w:spacing w:after="0"/>
        <w:rPr>
          <w:rFonts w:ascii="Arial" w:hAnsi="Arial" w:cs="Arial"/>
          <w:sz w:val="20"/>
          <w:szCs w:val="20"/>
          <w:lang w:val="en-GB"/>
        </w:rPr>
      </w:pPr>
      <w:r w:rsidRPr="009D39DF">
        <w:rPr>
          <w:rFonts w:ascii="Arial" w:hAnsi="Arial" w:cs="Arial"/>
          <w:sz w:val="20"/>
          <w:szCs w:val="20"/>
          <w:lang w:val="en-GB"/>
        </w:rPr>
        <w:t>3) All sheets of the tender, including attachments are properly number</w:t>
      </w:r>
      <w:r>
        <w:rPr>
          <w:rFonts w:ascii="Arial" w:hAnsi="Arial" w:cs="Arial"/>
          <w:sz w:val="20"/>
          <w:szCs w:val="20"/>
          <w:lang w:val="en-GB"/>
        </w:rPr>
        <w:t xml:space="preserve">ed in ascending numerical order </w:t>
      </w:r>
      <w:r w:rsidRPr="009D39DF">
        <w:rPr>
          <w:rFonts w:ascii="Arial" w:hAnsi="Arial" w:cs="Arial"/>
          <w:sz w:val="20"/>
          <w:szCs w:val="20"/>
          <w:lang w:val="en-GB"/>
        </w:rPr>
        <w:t>and the tender will be secured against tampering.</w:t>
      </w:r>
    </w:p>
    <w:p w:rsidR="009D39DF" w:rsidRDefault="009D39DF" w:rsidP="00DE2AD4">
      <w:pPr>
        <w:spacing w:after="0"/>
        <w:rPr>
          <w:rFonts w:ascii="Arial" w:hAnsi="Arial" w:cs="Arial"/>
          <w:sz w:val="20"/>
          <w:szCs w:val="20"/>
          <w:lang w:val="en-GB"/>
        </w:rPr>
      </w:pPr>
      <w:r w:rsidRPr="009D39DF">
        <w:rPr>
          <w:rFonts w:ascii="Arial" w:hAnsi="Arial" w:cs="Arial"/>
          <w:sz w:val="20"/>
          <w:szCs w:val="20"/>
          <w:lang w:val="en-GB"/>
        </w:rPr>
        <w:t xml:space="preserve">4) The </w:t>
      </w:r>
      <w:proofErr w:type="spellStart"/>
      <w:r w:rsidRPr="009D39DF">
        <w:rPr>
          <w:rFonts w:ascii="Arial" w:hAnsi="Arial" w:cs="Arial"/>
          <w:sz w:val="20"/>
          <w:szCs w:val="20"/>
          <w:lang w:val="en-GB"/>
        </w:rPr>
        <w:t>tenderer</w:t>
      </w:r>
      <w:proofErr w:type="spellEnd"/>
      <w:r w:rsidRPr="009D39DF">
        <w:rPr>
          <w:rFonts w:ascii="Arial" w:hAnsi="Arial" w:cs="Arial"/>
          <w:sz w:val="20"/>
          <w:szCs w:val="20"/>
          <w:lang w:val="en-GB"/>
        </w:rPr>
        <w:t xml:space="preserve"> shall use the order of the documents specified in the following sections of this guidance for quotation:</w:t>
      </w:r>
    </w:p>
    <w:p w:rsidR="00ED04AD" w:rsidRPr="00DE2AD4" w:rsidRDefault="00ED04AD" w:rsidP="00ED04AD">
      <w:pPr>
        <w:pStyle w:val="Odstavecseseznamem"/>
        <w:numPr>
          <w:ilvl w:val="0"/>
          <w:numId w:val="7"/>
        </w:numPr>
        <w:rPr>
          <w:rFonts w:ascii="Arial" w:hAnsi="Arial" w:cs="Arial"/>
          <w:b/>
          <w:sz w:val="20"/>
          <w:szCs w:val="20"/>
          <w:lang w:val="en-GB"/>
        </w:rPr>
      </w:pPr>
      <w:r w:rsidRPr="00DE2AD4">
        <w:rPr>
          <w:rFonts w:ascii="Arial" w:hAnsi="Arial" w:cs="Arial"/>
          <w:b/>
          <w:sz w:val="20"/>
          <w:szCs w:val="20"/>
          <w:lang w:val="en-GB"/>
        </w:rPr>
        <w:t xml:space="preserve">The Signed </w:t>
      </w:r>
      <w:r w:rsidR="00CD538C" w:rsidRPr="00DE2AD4">
        <w:rPr>
          <w:rFonts w:ascii="Arial" w:hAnsi="Arial" w:cs="Arial"/>
          <w:b/>
          <w:sz w:val="20"/>
          <w:szCs w:val="20"/>
          <w:lang w:val="en-GB"/>
        </w:rPr>
        <w:t>Draft Contract</w:t>
      </w:r>
      <w:r w:rsidRPr="00DE2AD4">
        <w:rPr>
          <w:rFonts w:ascii="Arial" w:hAnsi="Arial" w:cs="Arial"/>
          <w:b/>
          <w:sz w:val="20"/>
          <w:szCs w:val="20"/>
          <w:lang w:val="en-GB"/>
        </w:rPr>
        <w:t xml:space="preserve">.    </w:t>
      </w:r>
    </w:p>
    <w:p w:rsidR="00ED04AD" w:rsidRPr="00D23AFA" w:rsidRDefault="00BE7A9D" w:rsidP="00ED04AD">
      <w:pPr>
        <w:jc w:val="both"/>
        <w:rPr>
          <w:rFonts w:ascii="Arial" w:hAnsi="Arial" w:cs="Arial"/>
          <w:sz w:val="20"/>
          <w:szCs w:val="20"/>
          <w:lang w:val="en-GB"/>
        </w:rPr>
      </w:pPr>
      <w:r w:rsidRPr="00D23AFA">
        <w:rPr>
          <w:rFonts w:ascii="Arial" w:hAnsi="Arial" w:cs="Arial"/>
          <w:sz w:val="20"/>
          <w:szCs w:val="20"/>
          <w:lang w:val="en-GB"/>
        </w:rPr>
        <w:t xml:space="preserve">The model of the </w:t>
      </w:r>
      <w:r w:rsidR="00CD538C" w:rsidRPr="00D23AFA">
        <w:rPr>
          <w:rFonts w:ascii="Arial" w:hAnsi="Arial" w:cs="Arial"/>
          <w:sz w:val="20"/>
          <w:szCs w:val="20"/>
          <w:lang w:val="en-GB"/>
        </w:rPr>
        <w:t xml:space="preserve">Contract </w:t>
      </w:r>
      <w:r w:rsidR="00667DAB" w:rsidRPr="00D23AFA">
        <w:rPr>
          <w:rFonts w:ascii="Arial" w:hAnsi="Arial" w:cs="Arial"/>
          <w:sz w:val="20"/>
          <w:szCs w:val="20"/>
          <w:lang w:val="en-GB"/>
        </w:rPr>
        <w:t>is Annex No. 4 of tender documentation</w:t>
      </w:r>
      <w:r w:rsidRPr="00D23AFA">
        <w:rPr>
          <w:rFonts w:ascii="Arial" w:hAnsi="Arial" w:cs="Arial"/>
          <w:sz w:val="20"/>
          <w:szCs w:val="20"/>
          <w:lang w:val="en-GB"/>
        </w:rPr>
        <w:t xml:space="preserve">. The </w:t>
      </w:r>
      <w:proofErr w:type="spellStart"/>
      <w:r w:rsidR="00A01ABA" w:rsidRPr="00D23AFA">
        <w:rPr>
          <w:rFonts w:ascii="Arial" w:hAnsi="Arial" w:cs="Arial"/>
          <w:sz w:val="20"/>
          <w:szCs w:val="20"/>
          <w:lang w:val="en-GB"/>
        </w:rPr>
        <w:t>T</w:t>
      </w:r>
      <w:r w:rsidRPr="00D23AFA">
        <w:rPr>
          <w:rFonts w:ascii="Arial" w:hAnsi="Arial" w:cs="Arial"/>
          <w:sz w:val="20"/>
          <w:szCs w:val="20"/>
          <w:lang w:val="en-GB"/>
        </w:rPr>
        <w:t>ender</w:t>
      </w:r>
      <w:r w:rsidR="00A7673D" w:rsidRPr="00D23AFA">
        <w:rPr>
          <w:rFonts w:ascii="Arial" w:hAnsi="Arial" w:cs="Arial"/>
          <w:sz w:val="20"/>
          <w:szCs w:val="20"/>
          <w:lang w:val="en-GB"/>
        </w:rPr>
        <w:t>er</w:t>
      </w:r>
      <w:proofErr w:type="spellEnd"/>
      <w:r w:rsidRPr="00D23AFA">
        <w:rPr>
          <w:rFonts w:ascii="Arial" w:hAnsi="Arial" w:cs="Arial"/>
          <w:sz w:val="20"/>
          <w:szCs w:val="20"/>
          <w:lang w:val="en-GB"/>
        </w:rPr>
        <w:t xml:space="preserve"> only makes up the missing data and the </w:t>
      </w:r>
      <w:r w:rsidR="00CD538C" w:rsidRPr="00D23AFA">
        <w:rPr>
          <w:rFonts w:ascii="Arial" w:hAnsi="Arial" w:cs="Arial"/>
          <w:sz w:val="20"/>
          <w:szCs w:val="20"/>
          <w:lang w:val="en-GB"/>
        </w:rPr>
        <w:t xml:space="preserve">Contract </w:t>
      </w:r>
      <w:r w:rsidRPr="00D23AFA">
        <w:rPr>
          <w:rFonts w:ascii="Arial" w:hAnsi="Arial" w:cs="Arial"/>
          <w:sz w:val="20"/>
          <w:szCs w:val="20"/>
          <w:lang w:val="en-GB"/>
        </w:rPr>
        <w:t xml:space="preserve">signed by a person authorised to act on behalf of or for the </w:t>
      </w:r>
      <w:proofErr w:type="spellStart"/>
      <w:r w:rsidR="00CD41EC" w:rsidRPr="00D23AFA">
        <w:rPr>
          <w:rFonts w:ascii="Arial" w:hAnsi="Arial" w:cs="Arial"/>
          <w:sz w:val="20"/>
          <w:szCs w:val="20"/>
          <w:lang w:val="en-GB"/>
        </w:rPr>
        <w:t>Tenderer</w:t>
      </w:r>
      <w:proofErr w:type="spellEnd"/>
      <w:r w:rsidRPr="00D23AFA">
        <w:rPr>
          <w:rFonts w:ascii="Arial" w:hAnsi="Arial" w:cs="Arial"/>
          <w:sz w:val="20"/>
          <w:szCs w:val="20"/>
          <w:lang w:val="en-GB"/>
        </w:rPr>
        <w:t xml:space="preserve"> shall take part of the </w:t>
      </w:r>
      <w:r w:rsidR="00CD41EC" w:rsidRPr="00D23AFA">
        <w:rPr>
          <w:rFonts w:ascii="Arial" w:hAnsi="Arial" w:cs="Arial"/>
          <w:sz w:val="20"/>
          <w:szCs w:val="20"/>
          <w:lang w:val="en-GB"/>
        </w:rPr>
        <w:t>tender</w:t>
      </w:r>
      <w:r w:rsidRPr="00D23AFA">
        <w:rPr>
          <w:rFonts w:ascii="Arial" w:hAnsi="Arial" w:cs="Arial"/>
          <w:sz w:val="20"/>
          <w:szCs w:val="20"/>
          <w:lang w:val="en-GB"/>
        </w:rPr>
        <w:t xml:space="preserve"> as the draft </w:t>
      </w:r>
      <w:r w:rsidR="00CD538C" w:rsidRPr="00D23AFA">
        <w:rPr>
          <w:rFonts w:ascii="Arial" w:hAnsi="Arial" w:cs="Arial"/>
          <w:sz w:val="20"/>
          <w:szCs w:val="20"/>
          <w:lang w:val="en-GB"/>
        </w:rPr>
        <w:t>Contract</w:t>
      </w:r>
      <w:r w:rsidRPr="00D23AFA">
        <w:rPr>
          <w:rFonts w:ascii="Arial" w:hAnsi="Arial" w:cs="Arial"/>
          <w:sz w:val="20"/>
          <w:szCs w:val="20"/>
          <w:lang w:val="en-GB"/>
        </w:rPr>
        <w:t xml:space="preserve">. The contract and the content of the required conditions must correspond to the specification and content of the </w:t>
      </w:r>
      <w:r w:rsidR="00A7673D" w:rsidRPr="00D23AFA">
        <w:rPr>
          <w:rFonts w:ascii="Arial" w:hAnsi="Arial" w:cs="Arial"/>
          <w:sz w:val="20"/>
          <w:szCs w:val="20"/>
          <w:lang w:val="en-GB"/>
        </w:rPr>
        <w:t>t</w:t>
      </w:r>
      <w:r w:rsidR="00A01ABA" w:rsidRPr="00D23AFA">
        <w:rPr>
          <w:rFonts w:ascii="Arial" w:hAnsi="Arial" w:cs="Arial"/>
          <w:sz w:val="20"/>
          <w:szCs w:val="20"/>
          <w:lang w:val="en-GB"/>
        </w:rPr>
        <w:t>ender</w:t>
      </w:r>
      <w:r w:rsidRPr="00D23AFA">
        <w:rPr>
          <w:rFonts w:ascii="Arial" w:hAnsi="Arial" w:cs="Arial"/>
          <w:sz w:val="20"/>
          <w:szCs w:val="20"/>
          <w:lang w:val="en-GB"/>
        </w:rPr>
        <w:t xml:space="preserve">. If the contract does not conform to the specification and the other parts of the tender, or will not be signed by a person authorised to act on behalf of, or </w:t>
      </w:r>
      <w:proofErr w:type="spellStart"/>
      <w:r w:rsidR="009D39DF">
        <w:rPr>
          <w:rFonts w:ascii="Arial" w:hAnsi="Arial" w:cs="Arial"/>
          <w:sz w:val="20"/>
          <w:szCs w:val="20"/>
          <w:lang w:val="en-GB"/>
        </w:rPr>
        <w:t>tenderer</w:t>
      </w:r>
      <w:proofErr w:type="spellEnd"/>
      <w:r w:rsidRPr="00D23AFA">
        <w:rPr>
          <w:rFonts w:ascii="Arial" w:hAnsi="Arial" w:cs="Arial"/>
          <w:sz w:val="20"/>
          <w:szCs w:val="20"/>
          <w:lang w:val="en-GB"/>
        </w:rPr>
        <w:t xml:space="preserve"> for, or the </w:t>
      </w:r>
      <w:r w:rsidR="00CD538C" w:rsidRPr="00D23AFA">
        <w:rPr>
          <w:rFonts w:ascii="Arial" w:hAnsi="Arial" w:cs="Arial"/>
          <w:sz w:val="20"/>
          <w:szCs w:val="20"/>
          <w:lang w:val="en-GB"/>
        </w:rPr>
        <w:t>Contract</w:t>
      </w:r>
      <w:r w:rsidRPr="00D23AFA">
        <w:rPr>
          <w:rFonts w:ascii="Arial" w:hAnsi="Arial" w:cs="Arial"/>
          <w:sz w:val="20"/>
          <w:szCs w:val="20"/>
          <w:lang w:val="en-GB"/>
        </w:rPr>
        <w:t xml:space="preserve"> will </w:t>
      </w:r>
      <w:r w:rsidR="00A7673D" w:rsidRPr="00D23AFA">
        <w:rPr>
          <w:rFonts w:ascii="Arial" w:hAnsi="Arial" w:cs="Arial"/>
          <w:sz w:val="20"/>
          <w:szCs w:val="20"/>
          <w:lang w:val="en-GB"/>
        </w:rPr>
        <w:t xml:space="preserve">not </w:t>
      </w:r>
      <w:r w:rsidRPr="00D23AFA">
        <w:rPr>
          <w:rFonts w:ascii="Arial" w:hAnsi="Arial" w:cs="Arial"/>
          <w:sz w:val="20"/>
          <w:szCs w:val="20"/>
          <w:lang w:val="en-GB"/>
        </w:rPr>
        <w:t xml:space="preserve">be part of the </w:t>
      </w:r>
      <w:r w:rsidR="00A7673D" w:rsidRPr="00D23AFA">
        <w:rPr>
          <w:rFonts w:ascii="Arial" w:hAnsi="Arial" w:cs="Arial"/>
          <w:sz w:val="20"/>
          <w:szCs w:val="20"/>
          <w:lang w:val="en-GB"/>
        </w:rPr>
        <w:t xml:space="preserve">tender </w:t>
      </w:r>
      <w:r w:rsidRPr="00D23AFA">
        <w:rPr>
          <w:rFonts w:ascii="Arial" w:hAnsi="Arial" w:cs="Arial"/>
          <w:sz w:val="20"/>
          <w:szCs w:val="20"/>
          <w:lang w:val="en-GB"/>
        </w:rPr>
        <w:t xml:space="preserve">at all, this will be the reason for the decommissioning of the </w:t>
      </w:r>
      <w:r w:rsidR="00A7673D" w:rsidRPr="00D23AFA">
        <w:rPr>
          <w:rFonts w:ascii="Arial" w:hAnsi="Arial" w:cs="Arial"/>
          <w:sz w:val="20"/>
          <w:szCs w:val="20"/>
          <w:lang w:val="en-GB"/>
        </w:rPr>
        <w:t xml:space="preserve">tender </w:t>
      </w:r>
      <w:r w:rsidRPr="00D23AFA">
        <w:rPr>
          <w:rFonts w:ascii="Arial" w:hAnsi="Arial" w:cs="Arial"/>
          <w:sz w:val="20"/>
          <w:szCs w:val="20"/>
          <w:lang w:val="en-GB"/>
        </w:rPr>
        <w:t xml:space="preserve">and the exclusion of the </w:t>
      </w:r>
      <w:proofErr w:type="spellStart"/>
      <w:r w:rsidR="00A7673D" w:rsidRPr="00D23AFA">
        <w:rPr>
          <w:rFonts w:ascii="Arial" w:hAnsi="Arial" w:cs="Arial"/>
          <w:sz w:val="20"/>
          <w:szCs w:val="20"/>
          <w:lang w:val="en-GB"/>
        </w:rPr>
        <w:t>T</w:t>
      </w:r>
      <w:r w:rsidRPr="00D23AFA">
        <w:rPr>
          <w:rFonts w:ascii="Arial" w:hAnsi="Arial" w:cs="Arial"/>
          <w:sz w:val="20"/>
          <w:szCs w:val="20"/>
          <w:lang w:val="en-GB"/>
        </w:rPr>
        <w:t>enderer</w:t>
      </w:r>
      <w:proofErr w:type="spellEnd"/>
      <w:r w:rsidRPr="00D23AFA">
        <w:rPr>
          <w:rFonts w:ascii="Arial" w:hAnsi="Arial" w:cs="Arial"/>
          <w:sz w:val="20"/>
          <w:szCs w:val="20"/>
          <w:lang w:val="en-GB"/>
        </w:rPr>
        <w:t xml:space="preserve">. If acting on behalf of or for the </w:t>
      </w:r>
      <w:proofErr w:type="spellStart"/>
      <w:r w:rsidR="009D39DF">
        <w:rPr>
          <w:rFonts w:ascii="Arial" w:hAnsi="Arial" w:cs="Arial"/>
          <w:sz w:val="20"/>
          <w:szCs w:val="20"/>
          <w:lang w:val="en-GB"/>
        </w:rPr>
        <w:t>tenderer</w:t>
      </w:r>
      <w:proofErr w:type="spellEnd"/>
      <w:r w:rsidRPr="00D23AFA">
        <w:rPr>
          <w:rFonts w:ascii="Arial" w:hAnsi="Arial" w:cs="Arial"/>
          <w:sz w:val="20"/>
          <w:szCs w:val="20"/>
          <w:lang w:val="en-GB"/>
        </w:rPr>
        <w:t xml:space="preserve"> another person different from the person authorised to act, it must be included in the </w:t>
      </w:r>
      <w:r w:rsidR="00CD538C" w:rsidRPr="00D23AFA">
        <w:rPr>
          <w:rFonts w:ascii="Arial" w:hAnsi="Arial" w:cs="Arial"/>
          <w:sz w:val="20"/>
          <w:szCs w:val="20"/>
          <w:lang w:val="en-GB"/>
        </w:rPr>
        <w:t xml:space="preserve">Contract </w:t>
      </w:r>
      <w:r w:rsidRPr="00D23AFA">
        <w:rPr>
          <w:rFonts w:ascii="Arial" w:hAnsi="Arial" w:cs="Arial"/>
          <w:sz w:val="20"/>
          <w:szCs w:val="20"/>
          <w:lang w:val="en-GB"/>
        </w:rPr>
        <w:t xml:space="preserve">power of attorney authorizing the person to act. This power of Attorney must be submitted in the original or in an officially certified copy thereof.                </w:t>
      </w:r>
    </w:p>
    <w:p w:rsidR="00BE7A9D" w:rsidRPr="00D23AFA" w:rsidRDefault="00BE7A9D" w:rsidP="00A7673D">
      <w:pPr>
        <w:rPr>
          <w:rFonts w:ascii="Arial" w:hAnsi="Arial" w:cs="Arial"/>
          <w:sz w:val="20"/>
          <w:szCs w:val="20"/>
          <w:lang w:val="en-GB"/>
        </w:rPr>
      </w:pPr>
      <w:r w:rsidRPr="00D23AFA">
        <w:rPr>
          <w:rFonts w:ascii="Arial" w:hAnsi="Arial" w:cs="Arial"/>
          <w:sz w:val="20"/>
          <w:szCs w:val="20"/>
          <w:lang w:val="en-GB"/>
        </w:rPr>
        <w:t xml:space="preserve"> The part of the </w:t>
      </w:r>
      <w:r w:rsidR="00CD538C" w:rsidRPr="00D23AFA">
        <w:rPr>
          <w:rFonts w:ascii="Arial" w:hAnsi="Arial" w:cs="Arial"/>
          <w:sz w:val="20"/>
          <w:szCs w:val="20"/>
          <w:lang w:val="en-GB"/>
        </w:rPr>
        <w:t>c</w:t>
      </w:r>
      <w:r w:rsidRPr="00D23AFA">
        <w:rPr>
          <w:rFonts w:ascii="Arial" w:hAnsi="Arial" w:cs="Arial"/>
          <w:sz w:val="20"/>
          <w:szCs w:val="20"/>
          <w:lang w:val="en-GB"/>
        </w:rPr>
        <w:t>ontract also will be</w:t>
      </w:r>
      <w:r w:rsidR="00A7673D" w:rsidRPr="00D23AFA">
        <w:rPr>
          <w:rFonts w:ascii="Arial" w:hAnsi="Arial" w:cs="Arial"/>
          <w:sz w:val="20"/>
          <w:szCs w:val="20"/>
          <w:lang w:val="en-GB"/>
        </w:rPr>
        <w:t xml:space="preserve"> </w:t>
      </w:r>
      <w:r w:rsidR="00ED04AD" w:rsidRPr="00D23AFA">
        <w:rPr>
          <w:rFonts w:ascii="Arial" w:hAnsi="Arial" w:cs="Arial"/>
          <w:sz w:val="20"/>
          <w:szCs w:val="20"/>
          <w:lang w:val="en-GB"/>
        </w:rPr>
        <w:t>technical specification of the subject meeting</w:t>
      </w:r>
      <w:r w:rsidR="00A7673D" w:rsidRPr="00D23AFA">
        <w:rPr>
          <w:rFonts w:ascii="Arial" w:hAnsi="Arial" w:cs="Arial"/>
          <w:sz w:val="20"/>
          <w:szCs w:val="20"/>
          <w:lang w:val="en-GB"/>
        </w:rPr>
        <w:t>.</w:t>
      </w:r>
    </w:p>
    <w:p w:rsidR="00667DAB" w:rsidRDefault="00CD538C" w:rsidP="00667DAB">
      <w:pPr>
        <w:pStyle w:val="Odstavecseseznamem"/>
        <w:numPr>
          <w:ilvl w:val="0"/>
          <w:numId w:val="7"/>
        </w:numPr>
        <w:rPr>
          <w:rFonts w:ascii="Arial" w:hAnsi="Arial" w:cs="Arial"/>
          <w:sz w:val="20"/>
          <w:szCs w:val="20"/>
          <w:lang w:val="en-GB"/>
        </w:rPr>
      </w:pPr>
      <w:r w:rsidRPr="00DE2AD4">
        <w:rPr>
          <w:rFonts w:ascii="Arial" w:hAnsi="Arial" w:cs="Arial"/>
          <w:b/>
          <w:sz w:val="20"/>
          <w:szCs w:val="20"/>
          <w:lang w:val="en-GB"/>
        </w:rPr>
        <w:t>D</w:t>
      </w:r>
      <w:r w:rsidR="00ED04AD" w:rsidRPr="00DE2AD4">
        <w:rPr>
          <w:rFonts w:ascii="Arial" w:hAnsi="Arial" w:cs="Arial"/>
          <w:b/>
          <w:sz w:val="20"/>
          <w:szCs w:val="20"/>
          <w:lang w:val="en-GB"/>
        </w:rPr>
        <w:t>ocuments for proof of com</w:t>
      </w:r>
      <w:r w:rsidR="00667DAB" w:rsidRPr="00DE2AD4">
        <w:rPr>
          <w:rFonts w:ascii="Arial" w:hAnsi="Arial" w:cs="Arial"/>
          <w:b/>
          <w:sz w:val="20"/>
          <w:szCs w:val="20"/>
          <w:lang w:val="en-GB"/>
        </w:rPr>
        <w:t>pliance with qualification</w:t>
      </w:r>
      <w:r w:rsidR="00667DAB" w:rsidRPr="00D23AFA">
        <w:rPr>
          <w:rFonts w:ascii="Arial" w:hAnsi="Arial" w:cs="Arial"/>
          <w:sz w:val="20"/>
          <w:szCs w:val="20"/>
          <w:lang w:val="en-GB"/>
        </w:rPr>
        <w:t xml:space="preserve"> - r</w:t>
      </w:r>
      <w:r w:rsidR="00ED04AD" w:rsidRPr="00D23AFA">
        <w:rPr>
          <w:rFonts w:ascii="Arial" w:hAnsi="Arial" w:cs="Arial"/>
          <w:sz w:val="20"/>
          <w:szCs w:val="20"/>
          <w:lang w:val="en-GB"/>
        </w:rPr>
        <w:t>eferred to in the requirements for qualification.</w:t>
      </w:r>
      <w:r w:rsidR="007B4AD1" w:rsidRPr="007B4AD1">
        <w:rPr>
          <w:rFonts w:ascii="Arial" w:hAnsi="Arial" w:cs="Arial"/>
          <w:b/>
          <w:i/>
          <w:sz w:val="20"/>
          <w:szCs w:val="20"/>
          <w:lang w:val="en-GB"/>
        </w:rPr>
        <w:t xml:space="preserve"> </w:t>
      </w:r>
      <w:r w:rsidR="007B4AD1">
        <w:rPr>
          <w:rFonts w:ascii="Arial" w:hAnsi="Arial" w:cs="Arial"/>
          <w:b/>
          <w:i/>
          <w:sz w:val="20"/>
          <w:szCs w:val="20"/>
          <w:lang w:val="en-GB"/>
        </w:rPr>
        <w:t>(</w:t>
      </w:r>
      <w:r w:rsidR="007B4AD1" w:rsidRPr="00527A14">
        <w:rPr>
          <w:rFonts w:ascii="Arial" w:hAnsi="Arial" w:cs="Arial"/>
          <w:b/>
          <w:i/>
          <w:sz w:val="20"/>
          <w:szCs w:val="20"/>
          <w:lang w:val="en-GB"/>
        </w:rPr>
        <w:t xml:space="preserve">Contracting authority recommends using </w:t>
      </w:r>
      <w:r w:rsidR="007B4AD1">
        <w:rPr>
          <w:rFonts w:ascii="Arial" w:hAnsi="Arial" w:cs="Arial"/>
          <w:b/>
          <w:i/>
          <w:sz w:val="20"/>
          <w:szCs w:val="20"/>
          <w:lang w:val="en-GB"/>
        </w:rPr>
        <w:t xml:space="preserve">Annex No. </w:t>
      </w:r>
      <w:r w:rsidR="007B4AD1" w:rsidRPr="003671A5">
        <w:rPr>
          <w:rFonts w:ascii="Arial" w:hAnsi="Arial" w:cs="Arial"/>
          <w:b/>
          <w:i/>
          <w:sz w:val="20"/>
          <w:szCs w:val="20"/>
          <w:lang w:val="en-GB"/>
        </w:rPr>
        <w:t>2 of the TD.)</w:t>
      </w:r>
    </w:p>
    <w:p w:rsidR="00CB7A8D" w:rsidRDefault="00CB7A8D" w:rsidP="00CB7A8D">
      <w:pPr>
        <w:pStyle w:val="Odstavecseseznamem"/>
        <w:rPr>
          <w:rFonts w:ascii="Arial" w:hAnsi="Arial" w:cs="Arial"/>
          <w:sz w:val="20"/>
          <w:szCs w:val="20"/>
          <w:lang w:val="en-GB"/>
        </w:rPr>
      </w:pPr>
    </w:p>
    <w:p w:rsidR="009D39DF" w:rsidRPr="009D39DF" w:rsidRDefault="009D39DF" w:rsidP="009D39DF">
      <w:pPr>
        <w:pStyle w:val="Odstavecseseznamem"/>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rFonts w:ascii="Arial" w:hAnsi="Arial" w:cs="Arial"/>
          <w:b/>
          <w:sz w:val="20"/>
          <w:szCs w:val="20"/>
          <w:lang w:val="en-GB"/>
        </w:rPr>
      </w:pPr>
      <w:r w:rsidRPr="009D39DF">
        <w:rPr>
          <w:rFonts w:ascii="Arial" w:hAnsi="Arial" w:cs="Arial"/>
          <w:b/>
          <w:sz w:val="20"/>
          <w:szCs w:val="20"/>
          <w:lang w:val="en-GB"/>
        </w:rPr>
        <w:t>RIGHTS OF THE CONTRACTING AUTHORITY</w:t>
      </w:r>
    </w:p>
    <w:p w:rsidR="009D39DF" w:rsidRPr="009D39DF" w:rsidRDefault="009D39DF" w:rsidP="009D39DF">
      <w:pPr>
        <w:rPr>
          <w:rFonts w:ascii="Arial" w:hAnsi="Arial" w:cs="Arial"/>
          <w:sz w:val="20"/>
          <w:szCs w:val="20"/>
          <w:lang w:val="en-GB"/>
        </w:rPr>
      </w:pPr>
      <w:r w:rsidRPr="009D39DF">
        <w:rPr>
          <w:rFonts w:ascii="Arial" w:hAnsi="Arial" w:cs="Arial"/>
          <w:sz w:val="20"/>
          <w:szCs w:val="20"/>
          <w:lang w:val="en-GB"/>
        </w:rPr>
        <w:t>The contracting authority is entitled to cancel the contract before the conclusion of the tender procedure, in particular, provided that:</w:t>
      </w:r>
    </w:p>
    <w:p w:rsidR="009D39DF" w:rsidRPr="009D39DF" w:rsidRDefault="009D39DF" w:rsidP="009D39DF">
      <w:pPr>
        <w:pStyle w:val="Odstavecseseznamem"/>
        <w:jc w:val="both"/>
        <w:rPr>
          <w:rFonts w:ascii="Arial" w:hAnsi="Arial" w:cs="Arial"/>
          <w:sz w:val="20"/>
          <w:szCs w:val="20"/>
          <w:lang w:val="en-GB"/>
        </w:rPr>
      </w:pPr>
      <w:r w:rsidRPr="009D39DF">
        <w:rPr>
          <w:rFonts w:ascii="Arial" w:hAnsi="Arial" w:cs="Arial"/>
          <w:sz w:val="20"/>
          <w:szCs w:val="20"/>
          <w:lang w:val="en-GB"/>
        </w:rPr>
        <w:t xml:space="preserve">a) </w:t>
      </w:r>
      <w:proofErr w:type="gramStart"/>
      <w:r w:rsidRPr="009D39DF">
        <w:rPr>
          <w:rFonts w:ascii="Arial" w:hAnsi="Arial" w:cs="Arial"/>
          <w:sz w:val="20"/>
          <w:szCs w:val="20"/>
          <w:lang w:val="en-GB"/>
        </w:rPr>
        <w:t>c</w:t>
      </w:r>
      <w:r w:rsidR="00CB7A8D">
        <w:rPr>
          <w:rFonts w:ascii="Arial" w:hAnsi="Arial" w:cs="Arial"/>
          <w:sz w:val="20"/>
          <w:szCs w:val="20"/>
          <w:lang w:val="en-GB"/>
        </w:rPr>
        <w:t>ircumstances</w:t>
      </w:r>
      <w:proofErr w:type="gramEnd"/>
      <w:r w:rsidR="00CB7A8D">
        <w:rPr>
          <w:rFonts w:ascii="Arial" w:hAnsi="Arial" w:cs="Arial"/>
          <w:sz w:val="20"/>
          <w:szCs w:val="20"/>
          <w:lang w:val="en-GB"/>
        </w:rPr>
        <w:t xml:space="preserve"> occur in which </w:t>
      </w:r>
      <w:r w:rsidR="00DE2AD4">
        <w:rPr>
          <w:rFonts w:ascii="Arial" w:hAnsi="Arial" w:cs="Arial"/>
          <w:sz w:val="20"/>
          <w:szCs w:val="20"/>
          <w:lang w:val="en-GB"/>
        </w:rPr>
        <w:t>cann</w:t>
      </w:r>
      <w:r w:rsidR="00DE2AD4" w:rsidRPr="009D39DF">
        <w:rPr>
          <w:rFonts w:ascii="Arial" w:hAnsi="Arial" w:cs="Arial"/>
          <w:sz w:val="20"/>
          <w:szCs w:val="20"/>
          <w:lang w:val="en-GB"/>
        </w:rPr>
        <w:t>ot</w:t>
      </w:r>
      <w:r w:rsidRPr="009D39DF">
        <w:rPr>
          <w:rFonts w:ascii="Arial" w:hAnsi="Arial" w:cs="Arial"/>
          <w:sz w:val="20"/>
          <w:szCs w:val="20"/>
          <w:lang w:val="en-GB"/>
        </w:rPr>
        <w:t xml:space="preserve"> be required to continue the proceedings (such authority shall not be granted funds from the OP R &amp; DI for expenses associated with contract)</w:t>
      </w:r>
    </w:p>
    <w:p w:rsidR="009D39DF" w:rsidRPr="009D39DF" w:rsidRDefault="009D39DF" w:rsidP="009D39DF">
      <w:pPr>
        <w:pStyle w:val="Odstavecseseznamem"/>
        <w:jc w:val="both"/>
        <w:rPr>
          <w:rFonts w:ascii="Arial" w:hAnsi="Arial" w:cs="Arial"/>
          <w:sz w:val="20"/>
          <w:szCs w:val="20"/>
          <w:lang w:val="en-GB"/>
        </w:rPr>
      </w:pPr>
      <w:r w:rsidRPr="009D39DF">
        <w:rPr>
          <w:rFonts w:ascii="Arial" w:hAnsi="Arial" w:cs="Arial"/>
          <w:sz w:val="20"/>
          <w:szCs w:val="20"/>
          <w:lang w:val="en-GB"/>
        </w:rPr>
        <w:t xml:space="preserve">b) </w:t>
      </w:r>
      <w:proofErr w:type="gramStart"/>
      <w:r w:rsidRPr="009D39DF">
        <w:rPr>
          <w:rFonts w:ascii="Arial" w:hAnsi="Arial" w:cs="Arial"/>
          <w:sz w:val="20"/>
          <w:szCs w:val="20"/>
          <w:lang w:val="en-GB"/>
        </w:rPr>
        <w:t>the</w:t>
      </w:r>
      <w:proofErr w:type="gramEnd"/>
      <w:r w:rsidRPr="009D39DF">
        <w:rPr>
          <w:rFonts w:ascii="Arial" w:hAnsi="Arial" w:cs="Arial"/>
          <w:sz w:val="20"/>
          <w:szCs w:val="20"/>
          <w:lang w:val="en-GB"/>
        </w:rPr>
        <w:t xml:space="preserve"> selected supplier or. </w:t>
      </w:r>
      <w:proofErr w:type="gramStart"/>
      <w:r w:rsidRPr="009D39DF">
        <w:rPr>
          <w:rFonts w:ascii="Arial" w:hAnsi="Arial" w:cs="Arial"/>
          <w:sz w:val="20"/>
          <w:szCs w:val="20"/>
          <w:lang w:val="en-GB"/>
        </w:rPr>
        <w:t>supplier</w:t>
      </w:r>
      <w:proofErr w:type="gramEnd"/>
      <w:r w:rsidRPr="009D39DF">
        <w:rPr>
          <w:rFonts w:ascii="Arial" w:hAnsi="Arial" w:cs="Arial"/>
          <w:sz w:val="20"/>
          <w:szCs w:val="20"/>
          <w:lang w:val="en-GB"/>
        </w:rPr>
        <w:t xml:space="preserve"> of second, third, in turn, refused to enter into a contract or did not provide authority for its conclusion sufficient cooperation,</w:t>
      </w:r>
    </w:p>
    <w:p w:rsidR="009D39DF" w:rsidRPr="009D39DF" w:rsidRDefault="009D39DF" w:rsidP="009D39DF">
      <w:pPr>
        <w:pStyle w:val="Odstavecseseznamem"/>
        <w:jc w:val="both"/>
        <w:rPr>
          <w:rFonts w:ascii="Arial" w:hAnsi="Arial" w:cs="Arial"/>
          <w:sz w:val="20"/>
          <w:szCs w:val="20"/>
          <w:lang w:val="en-GB"/>
        </w:rPr>
      </w:pPr>
      <w:r w:rsidRPr="009D39DF">
        <w:rPr>
          <w:rFonts w:ascii="Arial" w:hAnsi="Arial" w:cs="Arial"/>
          <w:sz w:val="20"/>
          <w:szCs w:val="20"/>
          <w:lang w:val="en-GB"/>
        </w:rPr>
        <w:t xml:space="preserve">c) </w:t>
      </w:r>
      <w:proofErr w:type="gramStart"/>
      <w:r w:rsidRPr="009D39DF">
        <w:rPr>
          <w:rFonts w:ascii="Arial" w:hAnsi="Arial" w:cs="Arial"/>
          <w:sz w:val="20"/>
          <w:szCs w:val="20"/>
          <w:lang w:val="en-GB"/>
        </w:rPr>
        <w:t>the</w:t>
      </w:r>
      <w:proofErr w:type="gramEnd"/>
      <w:r w:rsidRPr="009D39DF">
        <w:rPr>
          <w:rFonts w:ascii="Arial" w:hAnsi="Arial" w:cs="Arial"/>
          <w:sz w:val="20"/>
          <w:szCs w:val="20"/>
          <w:lang w:val="en-GB"/>
        </w:rPr>
        <w:t xml:space="preserve"> contracting authority receives an offer from a single candidate</w:t>
      </w:r>
    </w:p>
    <w:p w:rsidR="00ED04AD" w:rsidRDefault="00DE2AD4" w:rsidP="009D39DF">
      <w:pPr>
        <w:pStyle w:val="Odstavecseseznamem"/>
        <w:jc w:val="both"/>
        <w:rPr>
          <w:rFonts w:ascii="Arial" w:hAnsi="Arial" w:cs="Arial"/>
          <w:sz w:val="20"/>
          <w:szCs w:val="20"/>
          <w:lang w:val="en-GB"/>
        </w:rPr>
      </w:pPr>
      <w:r>
        <w:rPr>
          <w:rFonts w:ascii="Arial" w:hAnsi="Arial" w:cs="Arial"/>
          <w:sz w:val="20"/>
          <w:szCs w:val="20"/>
          <w:lang w:val="en-GB"/>
        </w:rPr>
        <w:t xml:space="preserve">d) </w:t>
      </w:r>
      <w:proofErr w:type="gramStart"/>
      <w:r>
        <w:rPr>
          <w:rFonts w:ascii="Arial" w:hAnsi="Arial" w:cs="Arial"/>
          <w:sz w:val="20"/>
          <w:szCs w:val="20"/>
          <w:lang w:val="en-GB"/>
        </w:rPr>
        <w:t>t</w:t>
      </w:r>
      <w:r w:rsidR="009D39DF" w:rsidRPr="009D39DF">
        <w:rPr>
          <w:rFonts w:ascii="Arial" w:hAnsi="Arial" w:cs="Arial"/>
          <w:sz w:val="20"/>
          <w:szCs w:val="20"/>
          <w:lang w:val="en-GB"/>
        </w:rPr>
        <w:t>he</w:t>
      </w:r>
      <w:proofErr w:type="gramEnd"/>
      <w:r w:rsidR="009D39DF" w:rsidRPr="009D39DF">
        <w:rPr>
          <w:rFonts w:ascii="Arial" w:hAnsi="Arial" w:cs="Arial"/>
          <w:sz w:val="20"/>
          <w:szCs w:val="20"/>
          <w:lang w:val="en-GB"/>
        </w:rPr>
        <w:t xml:space="preserve"> contracting authority reserves the right to cancel the t</w:t>
      </w:r>
      <w:r w:rsidR="009D39DF">
        <w:rPr>
          <w:rFonts w:ascii="Arial" w:hAnsi="Arial" w:cs="Arial"/>
          <w:sz w:val="20"/>
          <w:szCs w:val="20"/>
          <w:lang w:val="en-GB"/>
        </w:rPr>
        <w:t>ender without giving any reasons.</w:t>
      </w:r>
    </w:p>
    <w:p w:rsidR="009D39DF" w:rsidRPr="009D39DF" w:rsidRDefault="009D39DF" w:rsidP="009D39DF">
      <w:pPr>
        <w:pStyle w:val="Odstavecseseznamem"/>
        <w:jc w:val="both"/>
        <w:rPr>
          <w:rFonts w:ascii="Arial" w:hAnsi="Arial" w:cs="Arial"/>
          <w:sz w:val="20"/>
          <w:szCs w:val="20"/>
          <w:lang w:val="en-GB"/>
        </w:rPr>
      </w:pPr>
    </w:p>
    <w:p w:rsidR="009D39DF" w:rsidRPr="009D39DF" w:rsidRDefault="009D39DF" w:rsidP="005E2F13">
      <w:pPr>
        <w:pStyle w:val="Odstavecseseznamem"/>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ind w:left="357" w:hanging="357"/>
        <w:contextualSpacing w:val="0"/>
        <w:jc w:val="both"/>
        <w:rPr>
          <w:rFonts w:ascii="Arial" w:hAnsi="Arial" w:cs="Arial"/>
          <w:b/>
          <w:sz w:val="20"/>
          <w:szCs w:val="20"/>
          <w:lang w:val="en-GB"/>
        </w:rPr>
      </w:pPr>
      <w:r w:rsidRPr="009D39DF">
        <w:rPr>
          <w:rFonts w:ascii="Arial" w:hAnsi="Arial" w:cs="Arial"/>
          <w:b/>
          <w:sz w:val="20"/>
          <w:szCs w:val="20"/>
          <w:lang w:val="en-GB"/>
        </w:rPr>
        <w:t xml:space="preserve">OTHER CONTRACTING AUTHORITI´S INFORMATION </w:t>
      </w:r>
    </w:p>
    <w:p w:rsidR="005E2F13" w:rsidRPr="005E2F13" w:rsidRDefault="005E2F13" w:rsidP="005E2F13">
      <w:pPr>
        <w:pStyle w:val="Odstavecseseznamem"/>
        <w:numPr>
          <w:ilvl w:val="1"/>
          <w:numId w:val="1"/>
        </w:numPr>
        <w:ind w:left="437" w:hanging="437"/>
        <w:contextualSpacing w:val="0"/>
        <w:jc w:val="both"/>
        <w:rPr>
          <w:rFonts w:ascii="Arial" w:hAnsi="Arial" w:cs="Arial"/>
          <w:sz w:val="20"/>
          <w:szCs w:val="20"/>
          <w:lang w:val="en-GB"/>
        </w:rPr>
      </w:pPr>
      <w:r w:rsidRPr="005E2F13">
        <w:rPr>
          <w:rFonts w:ascii="Arial" w:hAnsi="Arial" w:cs="Arial"/>
          <w:sz w:val="20"/>
          <w:szCs w:val="20"/>
          <w:lang w:val="en-GB"/>
        </w:rPr>
        <w:t>Submission of a tender confirms that he is bound by the entire contents of the accompanying menu, and throughout the course of the contract period.</w:t>
      </w:r>
    </w:p>
    <w:p w:rsidR="005E2F13" w:rsidRDefault="005E2F13" w:rsidP="005E2F13">
      <w:pPr>
        <w:pStyle w:val="Odstavecseseznamem"/>
        <w:numPr>
          <w:ilvl w:val="1"/>
          <w:numId w:val="1"/>
        </w:numPr>
        <w:ind w:left="437" w:hanging="437"/>
        <w:contextualSpacing w:val="0"/>
        <w:jc w:val="both"/>
        <w:rPr>
          <w:rFonts w:ascii="Arial" w:hAnsi="Arial" w:cs="Arial"/>
          <w:sz w:val="20"/>
          <w:szCs w:val="20"/>
          <w:lang w:val="en-GB"/>
        </w:rPr>
      </w:pPr>
      <w:r w:rsidRPr="005E2F13">
        <w:rPr>
          <w:rFonts w:ascii="Arial" w:hAnsi="Arial" w:cs="Arial"/>
          <w:sz w:val="20"/>
          <w:szCs w:val="20"/>
          <w:lang w:val="en-GB"/>
        </w:rPr>
        <w:t>The applicant is not entitled to reimbursement of costs associated with participation in a public contract.</w:t>
      </w:r>
    </w:p>
    <w:p w:rsidR="005E2F13" w:rsidRDefault="005E2F13" w:rsidP="005E2F13">
      <w:pPr>
        <w:pStyle w:val="Odstavecseseznamem"/>
        <w:numPr>
          <w:ilvl w:val="1"/>
          <w:numId w:val="1"/>
        </w:numPr>
        <w:ind w:left="437" w:hanging="437"/>
        <w:contextualSpacing w:val="0"/>
        <w:jc w:val="both"/>
        <w:rPr>
          <w:rFonts w:ascii="Arial" w:hAnsi="Arial" w:cs="Arial"/>
          <w:sz w:val="20"/>
          <w:szCs w:val="20"/>
          <w:lang w:val="en-GB"/>
        </w:rPr>
      </w:pPr>
      <w:r>
        <w:rPr>
          <w:rFonts w:ascii="Arial" w:hAnsi="Arial" w:cs="Arial"/>
          <w:sz w:val="20"/>
          <w:szCs w:val="20"/>
          <w:lang w:val="en-GB"/>
        </w:rPr>
        <w:lastRenderedPageBreak/>
        <w:t>Tenders</w:t>
      </w:r>
      <w:r w:rsidRPr="005E2F13">
        <w:rPr>
          <w:rFonts w:ascii="Arial" w:hAnsi="Arial" w:cs="Arial"/>
          <w:sz w:val="20"/>
          <w:szCs w:val="20"/>
          <w:lang w:val="en-GB"/>
        </w:rPr>
        <w:t xml:space="preserve"> will not be returned and remain the authority as part of the documentation of the procurement.</w:t>
      </w:r>
    </w:p>
    <w:p w:rsidR="005E2F13" w:rsidRDefault="005E2F13" w:rsidP="005E2F13">
      <w:pPr>
        <w:pStyle w:val="Odstavecseseznamem"/>
        <w:numPr>
          <w:ilvl w:val="1"/>
          <w:numId w:val="1"/>
        </w:numPr>
        <w:ind w:left="437" w:hanging="437"/>
        <w:contextualSpacing w:val="0"/>
        <w:jc w:val="both"/>
        <w:rPr>
          <w:rFonts w:ascii="Arial" w:hAnsi="Arial" w:cs="Arial"/>
          <w:sz w:val="20"/>
          <w:szCs w:val="20"/>
          <w:lang w:val="en-GB"/>
        </w:rPr>
      </w:pPr>
      <w:r>
        <w:rPr>
          <w:rFonts w:ascii="Arial" w:hAnsi="Arial" w:cs="Arial"/>
          <w:sz w:val="20"/>
          <w:szCs w:val="20"/>
          <w:lang w:val="en-GB"/>
        </w:rPr>
        <w:t>A</w:t>
      </w:r>
      <w:r w:rsidRPr="005E2F13">
        <w:rPr>
          <w:rFonts w:ascii="Arial" w:hAnsi="Arial" w:cs="Arial"/>
          <w:sz w:val="20"/>
          <w:szCs w:val="20"/>
          <w:lang w:val="en-GB"/>
        </w:rPr>
        <w:t xml:space="preserve">pplicant acknowledges that </w:t>
      </w:r>
      <w:r>
        <w:rPr>
          <w:rFonts w:ascii="Arial" w:hAnsi="Arial" w:cs="Arial"/>
          <w:sz w:val="20"/>
          <w:szCs w:val="20"/>
          <w:lang w:val="en-GB"/>
        </w:rPr>
        <w:t>Contracting authority</w:t>
      </w:r>
      <w:r w:rsidRPr="005E2F13">
        <w:rPr>
          <w:rFonts w:ascii="Arial" w:hAnsi="Arial" w:cs="Arial"/>
          <w:sz w:val="20"/>
          <w:szCs w:val="20"/>
          <w:lang w:val="en-GB"/>
        </w:rPr>
        <w:t xml:space="preserve"> shall comply with the requirements for publicity of the Structural Funds provided for in Article 9 of Regulation (EC) No 1828/2006 and the publicity rules in the OP and to all relevant documents relating to the procedure or process, </w:t>
      </w:r>
      <w:proofErr w:type="spellStart"/>
      <w:r w:rsidRPr="005E2F13">
        <w:rPr>
          <w:rFonts w:ascii="Arial" w:hAnsi="Arial" w:cs="Arial"/>
          <w:sz w:val="20"/>
          <w:szCs w:val="20"/>
          <w:lang w:val="en-GB"/>
        </w:rPr>
        <w:t>ie</w:t>
      </w:r>
      <w:proofErr w:type="spellEnd"/>
      <w:r w:rsidRPr="005E2F13">
        <w:rPr>
          <w:rFonts w:ascii="Arial" w:hAnsi="Arial" w:cs="Arial"/>
          <w:sz w:val="20"/>
          <w:szCs w:val="20"/>
          <w:lang w:val="en-GB"/>
        </w:rPr>
        <w:t xml:space="preserve"> in particular all contracts and other documents related to the contract. The applicant is required to comply with the publicity also in accordance with the Manual of uniform visual style, University of South Bohemia in Czech Budejovice. The applicant agrees to cooperate with the Authority in providing the above duties adequately and with due care.</w:t>
      </w:r>
    </w:p>
    <w:p w:rsidR="005E2F13" w:rsidRDefault="005E2F13" w:rsidP="005E2F13">
      <w:pPr>
        <w:pStyle w:val="Odstavecseseznamem"/>
        <w:numPr>
          <w:ilvl w:val="1"/>
          <w:numId w:val="1"/>
        </w:numPr>
        <w:ind w:left="437" w:hanging="437"/>
        <w:contextualSpacing w:val="0"/>
        <w:jc w:val="both"/>
        <w:rPr>
          <w:rFonts w:ascii="Arial" w:hAnsi="Arial" w:cs="Arial"/>
          <w:sz w:val="20"/>
          <w:szCs w:val="20"/>
          <w:lang w:val="en-GB"/>
        </w:rPr>
      </w:pPr>
      <w:r w:rsidRPr="005E2F13">
        <w:rPr>
          <w:rFonts w:ascii="Arial" w:hAnsi="Arial" w:cs="Arial"/>
          <w:sz w:val="20"/>
          <w:szCs w:val="20"/>
          <w:lang w:val="en-GB"/>
        </w:rPr>
        <w:t>The applicant acknowledges that by signing the contract is a commitment to provide the necessary involvement in the exercise of financial control in accordance with § 2. e) Act No. 320/2001 Coll., on financial control in public administration. The applicant is therefore required to provide access to all authorized inspection authorities all the documents, proposals, contracts and related documents, including those which are protected by special laws (such as trade secrets, classified information), provided that they meet the requirements legislation (</w:t>
      </w:r>
      <w:proofErr w:type="spellStart"/>
      <w:r w:rsidRPr="005E2F13">
        <w:rPr>
          <w:rFonts w:ascii="Arial" w:hAnsi="Arial" w:cs="Arial"/>
          <w:sz w:val="20"/>
          <w:szCs w:val="20"/>
          <w:lang w:val="en-GB"/>
        </w:rPr>
        <w:t>eg</w:t>
      </w:r>
      <w:proofErr w:type="spellEnd"/>
      <w:r w:rsidRPr="005E2F13">
        <w:rPr>
          <w:rFonts w:ascii="Arial" w:hAnsi="Arial" w:cs="Arial"/>
          <w:sz w:val="20"/>
          <w:szCs w:val="20"/>
          <w:lang w:val="en-GB"/>
        </w:rPr>
        <w:t xml:space="preserve"> § 11 point. c) and d) § 12 paragraph 2 point. f) </w:t>
      </w:r>
      <w:proofErr w:type="gramStart"/>
      <w:r w:rsidRPr="005E2F13">
        <w:rPr>
          <w:rFonts w:ascii="Arial" w:hAnsi="Arial" w:cs="Arial"/>
          <w:sz w:val="20"/>
          <w:szCs w:val="20"/>
          <w:lang w:val="en-GB"/>
        </w:rPr>
        <w:t>of</w:t>
      </w:r>
      <w:proofErr w:type="gramEnd"/>
      <w:r w:rsidRPr="005E2F13">
        <w:rPr>
          <w:rFonts w:ascii="Arial" w:hAnsi="Arial" w:cs="Arial"/>
          <w:sz w:val="20"/>
          <w:szCs w:val="20"/>
          <w:lang w:val="en-GB"/>
        </w:rPr>
        <w:t xml:space="preserve"> the Act č.552/1991 Coll., the State Inspection, as amended). The duty to cooperate in the exercise of financial control in accordance with § 2. e) Act No. 320/2001 Coll., on financial control in public administration, as amended, are bound by any subcontractors of the contractor.</w:t>
      </w:r>
    </w:p>
    <w:p w:rsidR="009D39DF" w:rsidRPr="005E2F13" w:rsidRDefault="005E2F13" w:rsidP="005E2F13">
      <w:pPr>
        <w:pStyle w:val="Odstavecseseznamem"/>
        <w:numPr>
          <w:ilvl w:val="1"/>
          <w:numId w:val="1"/>
        </w:numPr>
        <w:ind w:left="437" w:hanging="437"/>
        <w:contextualSpacing w:val="0"/>
        <w:jc w:val="both"/>
        <w:rPr>
          <w:rFonts w:ascii="Arial" w:hAnsi="Arial" w:cs="Arial"/>
          <w:sz w:val="20"/>
          <w:szCs w:val="20"/>
          <w:lang w:val="en-GB"/>
        </w:rPr>
      </w:pPr>
      <w:r w:rsidRPr="005E2F13">
        <w:rPr>
          <w:rFonts w:ascii="Arial" w:hAnsi="Arial" w:cs="Arial"/>
          <w:sz w:val="20"/>
          <w:szCs w:val="20"/>
          <w:lang w:val="en-GB"/>
        </w:rPr>
        <w:t xml:space="preserve">The applicant acknowledges that, as contracting authority shall keep all documentation relating to the issue VZ least until the expiry of 3 years from the completion of the OP R &amp; DI accordance with Article 90 of Council Regulation (EC) No 1083/2006, </w:t>
      </w:r>
      <w:proofErr w:type="spellStart"/>
      <w:r w:rsidRPr="005E2F13">
        <w:rPr>
          <w:rFonts w:ascii="Arial" w:hAnsi="Arial" w:cs="Arial"/>
          <w:sz w:val="20"/>
          <w:szCs w:val="20"/>
          <w:lang w:val="en-GB"/>
        </w:rPr>
        <w:t>ie</w:t>
      </w:r>
      <w:proofErr w:type="spellEnd"/>
      <w:r w:rsidRPr="005E2F13">
        <w:rPr>
          <w:rFonts w:ascii="Arial" w:hAnsi="Arial" w:cs="Arial"/>
          <w:sz w:val="20"/>
          <w:szCs w:val="20"/>
          <w:lang w:val="en-GB"/>
        </w:rPr>
        <w:t xml:space="preserve"> at least until 2021, if the Czech legal system does not provide for a longer period (minimally 10 years). MA OP RDI, or its authorized entities (and possibly other supervisory authorities pursuant to applicable law) to have access to documents on demand access.</w:t>
      </w:r>
    </w:p>
    <w:p w:rsidR="009D39DF" w:rsidRPr="00603EA9" w:rsidRDefault="009D39DF" w:rsidP="00603EA9">
      <w:pPr>
        <w:rPr>
          <w:rFonts w:ascii="Arial" w:hAnsi="Arial" w:cs="Arial"/>
          <w:sz w:val="20"/>
          <w:szCs w:val="20"/>
          <w:lang w:val="en-GB"/>
        </w:rPr>
      </w:pPr>
    </w:p>
    <w:p w:rsidR="00ED04AD" w:rsidRPr="00D23AFA" w:rsidRDefault="00A52975" w:rsidP="00ED04AD">
      <w:pPr>
        <w:pStyle w:val="Odstavecseseznamem"/>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caps/>
          <w:sz w:val="20"/>
          <w:szCs w:val="20"/>
          <w:lang w:val="en-GB"/>
        </w:rPr>
      </w:pPr>
      <w:r w:rsidRPr="00D23AFA">
        <w:rPr>
          <w:rFonts w:ascii="Arial" w:hAnsi="Arial" w:cs="Arial"/>
          <w:b/>
          <w:caps/>
          <w:sz w:val="20"/>
          <w:szCs w:val="20"/>
          <w:shd w:val="clear" w:color="auto" w:fill="D9D9D9" w:themeFill="background1" w:themeFillShade="D9"/>
          <w:lang w:val="en-GB"/>
        </w:rPr>
        <w:t xml:space="preserve">The next parts </w:t>
      </w:r>
      <w:r w:rsidR="00ED04AD" w:rsidRPr="00D23AFA">
        <w:rPr>
          <w:rFonts w:ascii="Arial" w:hAnsi="Arial" w:cs="Arial"/>
          <w:b/>
          <w:caps/>
          <w:sz w:val="20"/>
          <w:szCs w:val="20"/>
          <w:shd w:val="clear" w:color="auto" w:fill="D9D9D9" w:themeFill="background1" w:themeFillShade="D9"/>
          <w:lang w:val="en-GB"/>
        </w:rPr>
        <w:t xml:space="preserve">of the </w:t>
      </w:r>
      <w:r w:rsidRPr="00D23AFA">
        <w:rPr>
          <w:rFonts w:ascii="Arial" w:hAnsi="Arial" w:cs="Arial"/>
          <w:b/>
          <w:caps/>
          <w:sz w:val="20"/>
          <w:szCs w:val="20"/>
          <w:shd w:val="clear" w:color="auto" w:fill="D9D9D9" w:themeFill="background1" w:themeFillShade="D9"/>
          <w:lang w:val="en-GB"/>
        </w:rPr>
        <w:t xml:space="preserve">tender documentation </w:t>
      </w:r>
      <w:r w:rsidR="00ED04AD" w:rsidRPr="00D23AFA">
        <w:rPr>
          <w:rFonts w:ascii="Arial" w:hAnsi="Arial" w:cs="Arial"/>
          <w:b/>
          <w:caps/>
          <w:sz w:val="20"/>
          <w:szCs w:val="20"/>
          <w:shd w:val="clear" w:color="auto" w:fill="D9D9D9" w:themeFill="background1" w:themeFillShade="D9"/>
          <w:lang w:val="en-GB"/>
        </w:rPr>
        <w:t xml:space="preserve"> - annexes</w:t>
      </w:r>
    </w:p>
    <w:p w:rsidR="00BE7A9D" w:rsidRPr="00D23AFA" w:rsidRDefault="00BE7A9D" w:rsidP="00BE7A9D">
      <w:pPr>
        <w:rPr>
          <w:rFonts w:ascii="Arial" w:hAnsi="Arial" w:cs="Arial"/>
          <w:sz w:val="20"/>
          <w:szCs w:val="20"/>
          <w:u w:val="single"/>
          <w:lang w:val="en-GB"/>
        </w:rPr>
      </w:pPr>
      <w:r w:rsidRPr="00D23AFA">
        <w:rPr>
          <w:rFonts w:ascii="Arial" w:hAnsi="Arial" w:cs="Arial"/>
          <w:sz w:val="20"/>
          <w:szCs w:val="20"/>
          <w:lang w:val="en-GB"/>
        </w:rPr>
        <w:t xml:space="preserve"> </w:t>
      </w:r>
      <w:r w:rsidR="00ED04AD" w:rsidRPr="00D23AFA">
        <w:rPr>
          <w:rFonts w:ascii="Arial" w:hAnsi="Arial" w:cs="Arial"/>
          <w:sz w:val="20"/>
          <w:szCs w:val="20"/>
          <w:u w:val="single"/>
          <w:lang w:val="en-GB"/>
        </w:rPr>
        <w:t xml:space="preserve">Annexes:              </w:t>
      </w:r>
    </w:p>
    <w:p w:rsidR="00ED04AD" w:rsidRPr="00D23AFA" w:rsidRDefault="00ED04AD" w:rsidP="00ED04AD">
      <w:pPr>
        <w:pStyle w:val="Odstavecseseznamem"/>
        <w:numPr>
          <w:ilvl w:val="0"/>
          <w:numId w:val="17"/>
        </w:numPr>
        <w:spacing w:after="0" w:line="240" w:lineRule="auto"/>
        <w:rPr>
          <w:rFonts w:ascii="Arial" w:hAnsi="Arial" w:cs="Arial"/>
          <w:sz w:val="20"/>
          <w:szCs w:val="20"/>
          <w:lang w:val="en-GB"/>
        </w:rPr>
      </w:pPr>
      <w:r w:rsidRPr="00D23AFA">
        <w:rPr>
          <w:rFonts w:ascii="Arial" w:hAnsi="Arial" w:cs="Arial"/>
          <w:sz w:val="20"/>
          <w:szCs w:val="20"/>
          <w:lang w:val="en-GB"/>
        </w:rPr>
        <w:t>Annex</w:t>
      </w:r>
      <w:r w:rsidR="00853CFC" w:rsidRPr="00D23AFA">
        <w:rPr>
          <w:rFonts w:ascii="Arial" w:hAnsi="Arial" w:cs="Arial"/>
          <w:sz w:val="20"/>
          <w:szCs w:val="20"/>
          <w:lang w:val="en-GB"/>
        </w:rPr>
        <w:t xml:space="preserve"> 1 – Cover Sheet of the tender </w:t>
      </w:r>
    </w:p>
    <w:p w:rsidR="00ED04AD" w:rsidRPr="00D23AFA" w:rsidRDefault="00ED04AD" w:rsidP="00ED04AD">
      <w:pPr>
        <w:pStyle w:val="Odstavecseseznamem"/>
        <w:numPr>
          <w:ilvl w:val="0"/>
          <w:numId w:val="17"/>
        </w:numPr>
        <w:spacing w:after="0" w:line="240" w:lineRule="auto"/>
        <w:rPr>
          <w:rFonts w:ascii="Arial" w:hAnsi="Arial" w:cs="Arial"/>
          <w:sz w:val="20"/>
          <w:szCs w:val="20"/>
          <w:lang w:val="en-GB"/>
        </w:rPr>
      </w:pPr>
      <w:r w:rsidRPr="00D23AFA">
        <w:rPr>
          <w:rFonts w:ascii="Arial" w:hAnsi="Arial" w:cs="Arial"/>
          <w:sz w:val="20"/>
          <w:szCs w:val="20"/>
          <w:lang w:val="en-GB"/>
        </w:rPr>
        <w:t>Annex 2 – Affidavit to Meet the Qualifications</w:t>
      </w:r>
    </w:p>
    <w:p w:rsidR="00ED04AD" w:rsidRPr="00D23AFA" w:rsidRDefault="00ED04AD" w:rsidP="00ED04AD">
      <w:pPr>
        <w:pStyle w:val="Odstavecseseznamem"/>
        <w:numPr>
          <w:ilvl w:val="0"/>
          <w:numId w:val="17"/>
        </w:numPr>
        <w:spacing w:after="0" w:line="240" w:lineRule="auto"/>
        <w:rPr>
          <w:rFonts w:ascii="Arial" w:hAnsi="Arial" w:cs="Arial"/>
          <w:sz w:val="20"/>
          <w:szCs w:val="20"/>
          <w:lang w:val="en-GB"/>
        </w:rPr>
      </w:pPr>
      <w:r w:rsidRPr="00D23AFA">
        <w:rPr>
          <w:rFonts w:ascii="Arial" w:hAnsi="Arial" w:cs="Arial"/>
          <w:sz w:val="20"/>
          <w:szCs w:val="20"/>
          <w:lang w:val="en-GB"/>
        </w:rPr>
        <w:t>Annex 3 – Technical Specification (Specification of the Subject Performance)</w:t>
      </w:r>
    </w:p>
    <w:p w:rsidR="00BE7A9D" w:rsidRPr="00603EA9" w:rsidRDefault="00ED04AD" w:rsidP="00BE7A9D">
      <w:pPr>
        <w:pStyle w:val="Odstavecseseznamem"/>
        <w:numPr>
          <w:ilvl w:val="0"/>
          <w:numId w:val="17"/>
        </w:numPr>
        <w:spacing w:after="0" w:line="240" w:lineRule="auto"/>
        <w:rPr>
          <w:rFonts w:ascii="Arial" w:hAnsi="Arial" w:cs="Arial"/>
          <w:sz w:val="20"/>
          <w:szCs w:val="20"/>
          <w:lang w:val="en-GB"/>
        </w:rPr>
      </w:pPr>
      <w:r w:rsidRPr="00D23AFA">
        <w:rPr>
          <w:rFonts w:ascii="Arial" w:hAnsi="Arial" w:cs="Arial"/>
          <w:sz w:val="20"/>
          <w:szCs w:val="20"/>
          <w:lang w:val="en-GB"/>
        </w:rPr>
        <w:t>Annex 4 – Draft Contrac</w:t>
      </w:r>
      <w:r w:rsidR="00603EA9">
        <w:rPr>
          <w:rFonts w:ascii="Arial" w:hAnsi="Arial" w:cs="Arial"/>
          <w:sz w:val="20"/>
          <w:szCs w:val="20"/>
          <w:lang w:val="en-GB"/>
        </w:rPr>
        <w:t>t</w:t>
      </w:r>
    </w:p>
    <w:p w:rsidR="007B4AD1" w:rsidRDefault="007B4AD1" w:rsidP="00BE7A9D">
      <w:pPr>
        <w:rPr>
          <w:rFonts w:ascii="Arial" w:hAnsi="Arial" w:cs="Arial"/>
          <w:sz w:val="20"/>
          <w:szCs w:val="20"/>
          <w:lang w:val="en-GB"/>
        </w:rPr>
      </w:pPr>
    </w:p>
    <w:p w:rsidR="00BE7A9D" w:rsidRPr="00D23AFA" w:rsidRDefault="00BE7A9D" w:rsidP="00BE7A9D">
      <w:pPr>
        <w:rPr>
          <w:rFonts w:ascii="Arial" w:hAnsi="Arial" w:cs="Arial"/>
          <w:sz w:val="20"/>
          <w:szCs w:val="20"/>
          <w:lang w:val="en-GB"/>
        </w:rPr>
      </w:pPr>
      <w:r w:rsidRPr="00D23AFA">
        <w:rPr>
          <w:rFonts w:ascii="Arial" w:hAnsi="Arial" w:cs="Arial"/>
          <w:sz w:val="20"/>
          <w:szCs w:val="20"/>
          <w:lang w:val="en-GB"/>
        </w:rPr>
        <w:t xml:space="preserve">In </w:t>
      </w:r>
      <w:proofErr w:type="spellStart"/>
      <w:r w:rsidRPr="00D23AFA">
        <w:rPr>
          <w:rFonts w:ascii="Arial" w:hAnsi="Arial" w:cs="Arial"/>
          <w:sz w:val="20"/>
          <w:szCs w:val="20"/>
          <w:lang w:val="en-GB"/>
        </w:rPr>
        <w:t>České</w:t>
      </w:r>
      <w:proofErr w:type="spellEnd"/>
      <w:r w:rsidRPr="00D23AFA">
        <w:rPr>
          <w:rFonts w:ascii="Arial" w:hAnsi="Arial" w:cs="Arial"/>
          <w:sz w:val="20"/>
          <w:szCs w:val="20"/>
          <w:lang w:val="en-GB"/>
        </w:rPr>
        <w:t xml:space="preserve"> </w:t>
      </w:r>
      <w:proofErr w:type="spellStart"/>
      <w:r w:rsidRPr="00D23AFA">
        <w:rPr>
          <w:rFonts w:ascii="Arial" w:hAnsi="Arial" w:cs="Arial"/>
          <w:sz w:val="20"/>
          <w:szCs w:val="20"/>
          <w:lang w:val="en-GB"/>
        </w:rPr>
        <w:t>Budějovice</w:t>
      </w:r>
      <w:proofErr w:type="spellEnd"/>
      <w:r w:rsidR="00ED34D7" w:rsidRPr="00D23AFA">
        <w:rPr>
          <w:rFonts w:ascii="Arial" w:hAnsi="Arial" w:cs="Arial"/>
          <w:sz w:val="20"/>
          <w:szCs w:val="20"/>
          <w:lang w:val="en-GB"/>
        </w:rPr>
        <w:t xml:space="preserve"> </w:t>
      </w:r>
      <w:r w:rsidR="00DE2AD4">
        <w:rPr>
          <w:rFonts w:ascii="Arial" w:hAnsi="Arial" w:cs="Arial"/>
          <w:sz w:val="20"/>
          <w:szCs w:val="20"/>
          <w:lang w:val="en-GB"/>
        </w:rPr>
        <w:t>date 29/04/2013</w:t>
      </w:r>
      <w:r w:rsidRPr="00D23AFA">
        <w:rPr>
          <w:rFonts w:ascii="Arial" w:hAnsi="Arial" w:cs="Arial"/>
          <w:sz w:val="20"/>
          <w:szCs w:val="20"/>
          <w:lang w:val="en-GB"/>
        </w:rPr>
        <w:t xml:space="preserve">                       </w:t>
      </w:r>
    </w:p>
    <w:p w:rsidR="00ED34D7" w:rsidRPr="00D23AFA" w:rsidRDefault="00ED34D7" w:rsidP="00BE7A9D">
      <w:pPr>
        <w:rPr>
          <w:rFonts w:ascii="Arial" w:hAnsi="Arial" w:cs="Arial"/>
          <w:sz w:val="20"/>
          <w:szCs w:val="20"/>
          <w:lang w:val="en-GB"/>
        </w:rPr>
      </w:pPr>
    </w:p>
    <w:p w:rsidR="00ED34D7" w:rsidRPr="00D23AFA" w:rsidRDefault="00ED34D7" w:rsidP="00BE7A9D">
      <w:pPr>
        <w:rPr>
          <w:rFonts w:ascii="Arial" w:hAnsi="Arial" w:cs="Arial"/>
          <w:sz w:val="20"/>
          <w:szCs w:val="20"/>
          <w:lang w:val="en-GB"/>
        </w:rPr>
      </w:pPr>
    </w:p>
    <w:p w:rsidR="00BE7A9D" w:rsidRPr="00D23AFA" w:rsidRDefault="00ED34D7" w:rsidP="00ED34D7">
      <w:pPr>
        <w:spacing w:after="0" w:line="240" w:lineRule="auto"/>
        <w:rPr>
          <w:rFonts w:ascii="Arial" w:hAnsi="Arial" w:cs="Arial"/>
          <w:sz w:val="20"/>
          <w:szCs w:val="20"/>
          <w:lang w:val="en-GB"/>
        </w:rPr>
      </w:pPr>
      <w:r w:rsidRPr="00D23AFA">
        <w:rPr>
          <w:rFonts w:ascii="Arial" w:hAnsi="Arial" w:cs="Arial"/>
          <w:sz w:val="20"/>
          <w:szCs w:val="20"/>
          <w:lang w:val="en-GB"/>
        </w:rPr>
        <w:t>…………………………..</w:t>
      </w:r>
    </w:p>
    <w:p w:rsidR="00DC4A21" w:rsidRPr="00D23AFA" w:rsidRDefault="00BE7A9D">
      <w:pPr>
        <w:rPr>
          <w:rFonts w:ascii="Arial" w:hAnsi="Arial" w:cs="Arial"/>
          <w:sz w:val="20"/>
          <w:szCs w:val="20"/>
          <w:lang w:val="en-GB"/>
        </w:rPr>
      </w:pPr>
      <w:r w:rsidRPr="00D23AFA">
        <w:rPr>
          <w:rFonts w:ascii="Arial" w:hAnsi="Arial" w:cs="Arial"/>
          <w:sz w:val="20"/>
          <w:szCs w:val="20"/>
          <w:lang w:val="en-GB"/>
        </w:rPr>
        <w:t xml:space="preserve"> </w:t>
      </w:r>
      <w:proofErr w:type="gramStart"/>
      <w:r w:rsidRPr="00D23AFA">
        <w:rPr>
          <w:rFonts w:ascii="Arial" w:hAnsi="Arial" w:cs="Arial"/>
          <w:sz w:val="20"/>
          <w:szCs w:val="20"/>
          <w:lang w:val="en-GB"/>
        </w:rPr>
        <w:t>Ing.</w:t>
      </w:r>
      <w:proofErr w:type="gramEnd"/>
      <w:r w:rsidRPr="00D23AFA">
        <w:rPr>
          <w:rFonts w:ascii="Arial" w:hAnsi="Arial" w:cs="Arial"/>
          <w:sz w:val="20"/>
          <w:szCs w:val="20"/>
          <w:lang w:val="en-GB"/>
        </w:rPr>
        <w:t xml:space="preserve"> Hana Kropáčková, </w:t>
      </w:r>
      <w:proofErr w:type="spellStart"/>
      <w:r w:rsidR="00ED04AD" w:rsidRPr="00D23AFA">
        <w:rPr>
          <w:rFonts w:ascii="Arial" w:hAnsi="Arial" w:cs="Arial"/>
          <w:sz w:val="20"/>
          <w:szCs w:val="20"/>
          <w:lang w:val="en-GB"/>
        </w:rPr>
        <w:t>Quaestor</w:t>
      </w:r>
      <w:proofErr w:type="spellEnd"/>
      <w:r w:rsidR="00ED04AD" w:rsidRPr="00D23AFA">
        <w:rPr>
          <w:rFonts w:ascii="Arial" w:hAnsi="Arial" w:cs="Arial"/>
          <w:sz w:val="20"/>
          <w:szCs w:val="20"/>
          <w:lang w:val="en-GB"/>
        </w:rPr>
        <w:t xml:space="preserve">    </w:t>
      </w:r>
    </w:p>
    <w:sectPr w:rsidR="00DC4A21" w:rsidRPr="00D23AFA" w:rsidSect="00D43E0A">
      <w:headerReference w:type="default" r:id="rId7"/>
      <w:footerReference w:type="default" r:id="rId8"/>
      <w:pgSz w:w="11906" w:h="16838"/>
      <w:pgMar w:top="1417" w:right="1417" w:bottom="1417" w:left="1417" w:header="0"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5151" w:rsidRDefault="00A85151" w:rsidP="00D43E0A">
      <w:pPr>
        <w:spacing w:after="0" w:line="240" w:lineRule="auto"/>
      </w:pPr>
      <w:r>
        <w:separator/>
      </w:r>
    </w:p>
  </w:endnote>
  <w:endnote w:type="continuationSeparator" w:id="0">
    <w:p w:rsidR="00A85151" w:rsidRDefault="00A85151" w:rsidP="00D43E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611813"/>
      <w:docPartObj>
        <w:docPartGallery w:val="Page Numbers (Bottom of Page)"/>
        <w:docPartUnique/>
      </w:docPartObj>
    </w:sdtPr>
    <w:sdtContent>
      <w:p w:rsidR="00196CF2" w:rsidRDefault="00A3232D">
        <w:pPr>
          <w:pStyle w:val="Zpat"/>
          <w:jc w:val="right"/>
        </w:pPr>
        <w:fldSimple w:instr=" PAGE   \* MERGEFORMAT ">
          <w:r w:rsidR="00A47A46">
            <w:rPr>
              <w:noProof/>
            </w:rPr>
            <w:t>6</w:t>
          </w:r>
        </w:fldSimple>
      </w:p>
    </w:sdtContent>
  </w:sdt>
  <w:p w:rsidR="00196CF2" w:rsidRDefault="00196CF2">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5151" w:rsidRDefault="00A85151" w:rsidP="00D43E0A">
      <w:pPr>
        <w:spacing w:after="0" w:line="240" w:lineRule="auto"/>
      </w:pPr>
      <w:r>
        <w:separator/>
      </w:r>
    </w:p>
  </w:footnote>
  <w:footnote w:type="continuationSeparator" w:id="0">
    <w:p w:rsidR="00A85151" w:rsidRDefault="00A85151" w:rsidP="00D43E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151" w:rsidRDefault="00A85151">
    <w:pPr>
      <w:pStyle w:val="Zhlav"/>
    </w:pPr>
    <w:r w:rsidRPr="00D43E0A">
      <w:rPr>
        <w:noProof/>
        <w:lang w:eastAsia="cs-CZ"/>
      </w:rPr>
      <w:drawing>
        <wp:inline distT="0" distB="0" distL="0" distR="0">
          <wp:extent cx="5743575" cy="1581150"/>
          <wp:effectExtent l="0" t="0" r="0" b="0"/>
          <wp:docPr id="3" name="obrázek 1" descr="V:\LOGOLINK\OPVaVpI-Logolinky\logolink OPVaVpI_HOR_B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LOGOLINK\OPVaVpI-Logolinky\logolink OPVaVpI_HOR_BW.gif"/>
                  <pic:cNvPicPr>
                    <a:picLocks noChangeAspect="1" noChangeArrowheads="1"/>
                  </pic:cNvPicPr>
                </pic:nvPicPr>
                <pic:blipFill>
                  <a:blip r:embed="rId1"/>
                  <a:srcRect/>
                  <a:stretch>
                    <a:fillRect/>
                  </a:stretch>
                </pic:blipFill>
                <pic:spPr bwMode="auto">
                  <a:xfrm>
                    <a:off x="0" y="0"/>
                    <a:ext cx="5743575" cy="15811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E5E8D"/>
    <w:multiLevelType w:val="hybridMultilevel"/>
    <w:tmpl w:val="84460CF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326405F"/>
    <w:multiLevelType w:val="hybridMultilevel"/>
    <w:tmpl w:val="57024450"/>
    <w:lvl w:ilvl="0" w:tplc="AF54AB8E">
      <w:start w:val="1"/>
      <w:numFmt w:val="bullet"/>
      <w:lvlText w:val="-"/>
      <w:lvlJc w:val="left"/>
      <w:pPr>
        <w:ind w:left="1125" w:hanging="360"/>
      </w:pPr>
      <w:rPr>
        <w:rFonts w:ascii="Calibri" w:eastAsia="Times New Roman" w:hAnsi="Calibri" w:cs="Times New Roman" w:hint="default"/>
      </w:rPr>
    </w:lvl>
    <w:lvl w:ilvl="1" w:tplc="04050003" w:tentative="1">
      <w:start w:val="1"/>
      <w:numFmt w:val="bullet"/>
      <w:lvlText w:val="o"/>
      <w:lvlJc w:val="left"/>
      <w:pPr>
        <w:ind w:left="1845" w:hanging="360"/>
      </w:pPr>
      <w:rPr>
        <w:rFonts w:ascii="Courier New" w:hAnsi="Courier New" w:cs="Courier New" w:hint="default"/>
      </w:rPr>
    </w:lvl>
    <w:lvl w:ilvl="2" w:tplc="04050005" w:tentative="1">
      <w:start w:val="1"/>
      <w:numFmt w:val="bullet"/>
      <w:lvlText w:val=""/>
      <w:lvlJc w:val="left"/>
      <w:pPr>
        <w:ind w:left="2565" w:hanging="360"/>
      </w:pPr>
      <w:rPr>
        <w:rFonts w:ascii="Wingdings" w:hAnsi="Wingdings" w:hint="default"/>
      </w:rPr>
    </w:lvl>
    <w:lvl w:ilvl="3" w:tplc="04050001" w:tentative="1">
      <w:start w:val="1"/>
      <w:numFmt w:val="bullet"/>
      <w:lvlText w:val=""/>
      <w:lvlJc w:val="left"/>
      <w:pPr>
        <w:ind w:left="3285" w:hanging="360"/>
      </w:pPr>
      <w:rPr>
        <w:rFonts w:ascii="Symbol" w:hAnsi="Symbol" w:hint="default"/>
      </w:rPr>
    </w:lvl>
    <w:lvl w:ilvl="4" w:tplc="04050003" w:tentative="1">
      <w:start w:val="1"/>
      <w:numFmt w:val="bullet"/>
      <w:lvlText w:val="o"/>
      <w:lvlJc w:val="left"/>
      <w:pPr>
        <w:ind w:left="4005" w:hanging="360"/>
      </w:pPr>
      <w:rPr>
        <w:rFonts w:ascii="Courier New" w:hAnsi="Courier New" w:cs="Courier New" w:hint="default"/>
      </w:rPr>
    </w:lvl>
    <w:lvl w:ilvl="5" w:tplc="04050005" w:tentative="1">
      <w:start w:val="1"/>
      <w:numFmt w:val="bullet"/>
      <w:lvlText w:val=""/>
      <w:lvlJc w:val="left"/>
      <w:pPr>
        <w:ind w:left="4725" w:hanging="360"/>
      </w:pPr>
      <w:rPr>
        <w:rFonts w:ascii="Wingdings" w:hAnsi="Wingdings" w:hint="default"/>
      </w:rPr>
    </w:lvl>
    <w:lvl w:ilvl="6" w:tplc="04050001" w:tentative="1">
      <w:start w:val="1"/>
      <w:numFmt w:val="bullet"/>
      <w:lvlText w:val=""/>
      <w:lvlJc w:val="left"/>
      <w:pPr>
        <w:ind w:left="5445" w:hanging="360"/>
      </w:pPr>
      <w:rPr>
        <w:rFonts w:ascii="Symbol" w:hAnsi="Symbol" w:hint="default"/>
      </w:rPr>
    </w:lvl>
    <w:lvl w:ilvl="7" w:tplc="04050003" w:tentative="1">
      <w:start w:val="1"/>
      <w:numFmt w:val="bullet"/>
      <w:lvlText w:val="o"/>
      <w:lvlJc w:val="left"/>
      <w:pPr>
        <w:ind w:left="6165" w:hanging="360"/>
      </w:pPr>
      <w:rPr>
        <w:rFonts w:ascii="Courier New" w:hAnsi="Courier New" w:cs="Courier New" w:hint="default"/>
      </w:rPr>
    </w:lvl>
    <w:lvl w:ilvl="8" w:tplc="04050005" w:tentative="1">
      <w:start w:val="1"/>
      <w:numFmt w:val="bullet"/>
      <w:lvlText w:val=""/>
      <w:lvlJc w:val="left"/>
      <w:pPr>
        <w:ind w:left="6885" w:hanging="360"/>
      </w:pPr>
      <w:rPr>
        <w:rFonts w:ascii="Wingdings" w:hAnsi="Wingdings" w:hint="default"/>
      </w:rPr>
    </w:lvl>
  </w:abstractNum>
  <w:abstractNum w:abstractNumId="2">
    <w:nsid w:val="1763735A"/>
    <w:multiLevelType w:val="hybridMultilevel"/>
    <w:tmpl w:val="2FE85B5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nsid w:val="1D4769A1"/>
    <w:multiLevelType w:val="hybridMultilevel"/>
    <w:tmpl w:val="1AAE05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63322D4"/>
    <w:multiLevelType w:val="hybridMultilevel"/>
    <w:tmpl w:val="21088B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C380E93"/>
    <w:multiLevelType w:val="hybridMultilevel"/>
    <w:tmpl w:val="DAB02B48"/>
    <w:lvl w:ilvl="0" w:tplc="AF54AB8E">
      <w:start w:val="1"/>
      <w:numFmt w:val="bullet"/>
      <w:lvlText w:val="-"/>
      <w:lvlJc w:val="left"/>
      <w:pPr>
        <w:ind w:left="1065" w:hanging="360"/>
      </w:pPr>
      <w:rPr>
        <w:rFonts w:ascii="Calibri" w:eastAsia="Times New Roman" w:hAnsi="Calibri"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6">
    <w:nsid w:val="36047F4F"/>
    <w:multiLevelType w:val="hybridMultilevel"/>
    <w:tmpl w:val="B8A05CC2"/>
    <w:lvl w:ilvl="0" w:tplc="AF54AB8E">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C914BFB"/>
    <w:multiLevelType w:val="hybridMultilevel"/>
    <w:tmpl w:val="1AE89C2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CEA2920"/>
    <w:multiLevelType w:val="hybridMultilevel"/>
    <w:tmpl w:val="893424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0AA6B77"/>
    <w:multiLevelType w:val="hybridMultilevel"/>
    <w:tmpl w:val="F5F8CA94"/>
    <w:lvl w:ilvl="0" w:tplc="AF54AB8E">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57D0C55"/>
    <w:multiLevelType w:val="hybridMultilevel"/>
    <w:tmpl w:val="5D809196"/>
    <w:lvl w:ilvl="0" w:tplc="AECC44B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9190AC9"/>
    <w:multiLevelType w:val="hybridMultilevel"/>
    <w:tmpl w:val="8BE0986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CDA7AEF"/>
    <w:multiLevelType w:val="hybridMultilevel"/>
    <w:tmpl w:val="CDC459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17122AF"/>
    <w:multiLevelType w:val="hybridMultilevel"/>
    <w:tmpl w:val="B42224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77436E1"/>
    <w:multiLevelType w:val="hybridMultilevel"/>
    <w:tmpl w:val="1C7284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7E10FC1"/>
    <w:multiLevelType w:val="hybridMultilevel"/>
    <w:tmpl w:val="1D8029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89D0C65"/>
    <w:multiLevelType w:val="multilevel"/>
    <w:tmpl w:val="397E258C"/>
    <w:lvl w:ilvl="0">
      <w:start w:val="1"/>
      <w:numFmt w:val="decimal"/>
      <w:lvlText w:val="%1."/>
      <w:lvlJc w:val="left"/>
      <w:pPr>
        <w:ind w:left="360" w:hanging="360"/>
      </w:pPr>
      <w:rPr>
        <w:rFonts w:cs="Times New Roman" w:hint="default"/>
        <w:b/>
      </w:rPr>
    </w:lvl>
    <w:lvl w:ilvl="1">
      <w:start w:val="1"/>
      <w:numFmt w:val="decimal"/>
      <w:isLgl/>
      <w:lvlText w:val="%1.%2."/>
      <w:lvlJc w:val="left"/>
      <w:pPr>
        <w:ind w:left="435" w:hanging="43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nsid w:val="78BE7345"/>
    <w:multiLevelType w:val="hybridMultilevel"/>
    <w:tmpl w:val="7E866F28"/>
    <w:lvl w:ilvl="0" w:tplc="AFF83AB2">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F900B72"/>
    <w:multiLevelType w:val="hybridMultilevel"/>
    <w:tmpl w:val="B43E4CA0"/>
    <w:lvl w:ilvl="0" w:tplc="0405000F">
      <w:start w:val="5"/>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6"/>
  </w:num>
  <w:num w:numId="2">
    <w:abstractNumId w:val="7"/>
  </w:num>
  <w:num w:numId="3">
    <w:abstractNumId w:val="5"/>
  </w:num>
  <w:num w:numId="4">
    <w:abstractNumId w:val="1"/>
  </w:num>
  <w:num w:numId="5">
    <w:abstractNumId w:val="18"/>
  </w:num>
  <w:num w:numId="6">
    <w:abstractNumId w:val="4"/>
  </w:num>
  <w:num w:numId="7">
    <w:abstractNumId w:val="17"/>
  </w:num>
  <w:num w:numId="8">
    <w:abstractNumId w:val="0"/>
  </w:num>
  <w:num w:numId="9">
    <w:abstractNumId w:val="15"/>
  </w:num>
  <w:num w:numId="10">
    <w:abstractNumId w:val="2"/>
  </w:num>
  <w:num w:numId="11">
    <w:abstractNumId w:val="12"/>
  </w:num>
  <w:num w:numId="12">
    <w:abstractNumId w:val="13"/>
  </w:num>
  <w:num w:numId="13">
    <w:abstractNumId w:val="8"/>
  </w:num>
  <w:num w:numId="14">
    <w:abstractNumId w:val="10"/>
  </w:num>
  <w:num w:numId="15">
    <w:abstractNumId w:val="6"/>
  </w:num>
  <w:num w:numId="16">
    <w:abstractNumId w:val="9"/>
  </w:num>
  <w:num w:numId="17">
    <w:abstractNumId w:val="3"/>
  </w:num>
  <w:num w:numId="18">
    <w:abstractNumId w:val="14"/>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rsids>
    <w:rsidRoot w:val="00BE7A9D"/>
    <w:rsid w:val="0006002B"/>
    <w:rsid w:val="00061EA5"/>
    <w:rsid w:val="00076C12"/>
    <w:rsid w:val="00120FCA"/>
    <w:rsid w:val="00196CF2"/>
    <w:rsid w:val="001A27A1"/>
    <w:rsid w:val="001B3ACF"/>
    <w:rsid w:val="002352A2"/>
    <w:rsid w:val="0025714F"/>
    <w:rsid w:val="002A03FA"/>
    <w:rsid w:val="002D58FB"/>
    <w:rsid w:val="002D75BB"/>
    <w:rsid w:val="002F064A"/>
    <w:rsid w:val="003671A5"/>
    <w:rsid w:val="003A0FEB"/>
    <w:rsid w:val="003D0541"/>
    <w:rsid w:val="003E2E9A"/>
    <w:rsid w:val="003E5792"/>
    <w:rsid w:val="003F6B0F"/>
    <w:rsid w:val="00425846"/>
    <w:rsid w:val="00475B09"/>
    <w:rsid w:val="00527A14"/>
    <w:rsid w:val="005731AF"/>
    <w:rsid w:val="005A39BF"/>
    <w:rsid w:val="005E2F13"/>
    <w:rsid w:val="005F7C1A"/>
    <w:rsid w:val="00603EA9"/>
    <w:rsid w:val="006044FE"/>
    <w:rsid w:val="00667DAB"/>
    <w:rsid w:val="006D5F26"/>
    <w:rsid w:val="006F3EDC"/>
    <w:rsid w:val="007A7CD6"/>
    <w:rsid w:val="007B4AD1"/>
    <w:rsid w:val="008010E9"/>
    <w:rsid w:val="008079D7"/>
    <w:rsid w:val="008105AF"/>
    <w:rsid w:val="00853CFC"/>
    <w:rsid w:val="00855C0B"/>
    <w:rsid w:val="008A6BC4"/>
    <w:rsid w:val="00991522"/>
    <w:rsid w:val="009C2A1E"/>
    <w:rsid w:val="009C67A2"/>
    <w:rsid w:val="009D39DF"/>
    <w:rsid w:val="00A01ABA"/>
    <w:rsid w:val="00A203D5"/>
    <w:rsid w:val="00A31194"/>
    <w:rsid w:val="00A3232D"/>
    <w:rsid w:val="00A47A46"/>
    <w:rsid w:val="00A52975"/>
    <w:rsid w:val="00A7673D"/>
    <w:rsid w:val="00A85151"/>
    <w:rsid w:val="00A87012"/>
    <w:rsid w:val="00AF6655"/>
    <w:rsid w:val="00B4198B"/>
    <w:rsid w:val="00B43797"/>
    <w:rsid w:val="00B82BA9"/>
    <w:rsid w:val="00BA428C"/>
    <w:rsid w:val="00BE7A9D"/>
    <w:rsid w:val="00C1323E"/>
    <w:rsid w:val="00C50F09"/>
    <w:rsid w:val="00C73645"/>
    <w:rsid w:val="00CB7A8D"/>
    <w:rsid w:val="00CD41EC"/>
    <w:rsid w:val="00CD538C"/>
    <w:rsid w:val="00CF6046"/>
    <w:rsid w:val="00D04949"/>
    <w:rsid w:val="00D23AFA"/>
    <w:rsid w:val="00D35A66"/>
    <w:rsid w:val="00D43E0A"/>
    <w:rsid w:val="00DA5619"/>
    <w:rsid w:val="00DC4A21"/>
    <w:rsid w:val="00DE2AD4"/>
    <w:rsid w:val="00DE69C6"/>
    <w:rsid w:val="00DF1F8C"/>
    <w:rsid w:val="00E02695"/>
    <w:rsid w:val="00E05909"/>
    <w:rsid w:val="00E33384"/>
    <w:rsid w:val="00E673DF"/>
    <w:rsid w:val="00E730C9"/>
    <w:rsid w:val="00E853F2"/>
    <w:rsid w:val="00E96C5F"/>
    <w:rsid w:val="00ED04AD"/>
    <w:rsid w:val="00ED34D7"/>
    <w:rsid w:val="00FD709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E7A9D"/>
    <w:rPr>
      <w:rFonts w:ascii="Calibri" w:eastAsia="Times New Roman" w:hAnsi="Calibri" w:cs="Times New Roman"/>
    </w:rPr>
  </w:style>
  <w:style w:type="paragraph" w:styleId="Nadpis1">
    <w:name w:val="heading 1"/>
    <w:basedOn w:val="Normln"/>
    <w:next w:val="Normln"/>
    <w:link w:val="Nadpis1Char"/>
    <w:qFormat/>
    <w:rsid w:val="00B43797"/>
    <w:pPr>
      <w:keepNext/>
      <w:autoSpaceDE w:val="0"/>
      <w:autoSpaceDN w:val="0"/>
      <w:spacing w:after="0" w:line="280" w:lineRule="atLeast"/>
      <w:jc w:val="both"/>
      <w:outlineLvl w:val="0"/>
    </w:pPr>
    <w:rPr>
      <w:rFonts w:ascii="Cambria" w:hAnsi="Cambria"/>
      <w:b/>
      <w:kern w:val="32"/>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BE7A9D"/>
    <w:pPr>
      <w:ind w:left="720"/>
      <w:contextualSpacing/>
    </w:pPr>
  </w:style>
  <w:style w:type="character" w:styleId="Odkaznakoment">
    <w:name w:val="annotation reference"/>
    <w:basedOn w:val="Standardnpsmoodstavce"/>
    <w:uiPriority w:val="99"/>
    <w:rsid w:val="00BE7A9D"/>
    <w:rPr>
      <w:rFonts w:cs="Times New Roman"/>
      <w:sz w:val="16"/>
      <w:szCs w:val="16"/>
    </w:rPr>
  </w:style>
  <w:style w:type="paragraph" w:styleId="Textkomente">
    <w:name w:val="annotation text"/>
    <w:basedOn w:val="Normln"/>
    <w:link w:val="TextkomenteChar"/>
    <w:uiPriority w:val="99"/>
    <w:rsid w:val="00BE7A9D"/>
    <w:rPr>
      <w:sz w:val="20"/>
      <w:szCs w:val="20"/>
    </w:rPr>
  </w:style>
  <w:style w:type="character" w:customStyle="1" w:styleId="TextkomenteChar">
    <w:name w:val="Text komentáře Char"/>
    <w:basedOn w:val="Standardnpsmoodstavce"/>
    <w:link w:val="Textkomente"/>
    <w:uiPriority w:val="99"/>
    <w:rsid w:val="00BE7A9D"/>
    <w:rPr>
      <w:rFonts w:ascii="Calibri" w:eastAsia="Times New Roman" w:hAnsi="Calibri" w:cs="Times New Roman"/>
      <w:sz w:val="20"/>
      <w:szCs w:val="20"/>
    </w:rPr>
  </w:style>
  <w:style w:type="paragraph" w:styleId="Textbubliny">
    <w:name w:val="Balloon Text"/>
    <w:basedOn w:val="Normln"/>
    <w:link w:val="TextbublinyChar"/>
    <w:uiPriority w:val="99"/>
    <w:semiHidden/>
    <w:unhideWhenUsed/>
    <w:rsid w:val="00BE7A9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E7A9D"/>
    <w:rPr>
      <w:rFonts w:ascii="Tahoma" w:eastAsia="Times New Roman" w:hAnsi="Tahoma" w:cs="Tahoma"/>
      <w:sz w:val="16"/>
      <w:szCs w:val="16"/>
    </w:rPr>
  </w:style>
  <w:style w:type="paragraph" w:customStyle="1" w:styleId="Normal">
    <w:name w:val="[Normal]"/>
    <w:rsid w:val="005A39BF"/>
    <w:pPr>
      <w:widowControl w:val="0"/>
      <w:autoSpaceDE w:val="0"/>
      <w:autoSpaceDN w:val="0"/>
      <w:adjustRightInd w:val="0"/>
      <w:spacing w:after="0" w:line="240" w:lineRule="auto"/>
    </w:pPr>
    <w:rPr>
      <w:rFonts w:ascii="Arial" w:eastAsia="Times New Roman" w:hAnsi="Arial" w:cs="Arial"/>
      <w:sz w:val="24"/>
      <w:szCs w:val="24"/>
      <w:lang w:eastAsia="cs-CZ"/>
    </w:rPr>
  </w:style>
  <w:style w:type="paragraph" w:styleId="Pedmtkomente">
    <w:name w:val="annotation subject"/>
    <w:basedOn w:val="Textkomente"/>
    <w:next w:val="Textkomente"/>
    <w:link w:val="PedmtkomenteChar"/>
    <w:uiPriority w:val="99"/>
    <w:semiHidden/>
    <w:unhideWhenUsed/>
    <w:rsid w:val="00A01ABA"/>
    <w:pPr>
      <w:spacing w:line="240" w:lineRule="auto"/>
    </w:pPr>
    <w:rPr>
      <w:b/>
      <w:bCs/>
    </w:rPr>
  </w:style>
  <w:style w:type="character" w:customStyle="1" w:styleId="PedmtkomenteChar">
    <w:name w:val="Předmět komentáře Char"/>
    <w:basedOn w:val="TextkomenteChar"/>
    <w:link w:val="Pedmtkomente"/>
    <w:uiPriority w:val="99"/>
    <w:semiHidden/>
    <w:rsid w:val="00A01ABA"/>
    <w:rPr>
      <w:b/>
      <w:bCs/>
    </w:rPr>
  </w:style>
  <w:style w:type="paragraph" w:styleId="Revize">
    <w:name w:val="Revision"/>
    <w:hidden/>
    <w:uiPriority w:val="99"/>
    <w:semiHidden/>
    <w:rsid w:val="00A01ABA"/>
    <w:pPr>
      <w:spacing w:after="0" w:line="240" w:lineRule="auto"/>
    </w:pPr>
    <w:rPr>
      <w:rFonts w:ascii="Calibri" w:eastAsia="Times New Roman" w:hAnsi="Calibri" w:cs="Times New Roman"/>
    </w:rPr>
  </w:style>
  <w:style w:type="paragraph" w:styleId="Zkladntext">
    <w:name w:val="Body Text"/>
    <w:basedOn w:val="Normln"/>
    <w:link w:val="ZkladntextChar"/>
    <w:rsid w:val="002A03FA"/>
    <w:pPr>
      <w:autoSpaceDE w:val="0"/>
      <w:autoSpaceDN w:val="0"/>
      <w:spacing w:after="0" w:line="280" w:lineRule="atLeast"/>
      <w:jc w:val="both"/>
    </w:pPr>
    <w:rPr>
      <w:rFonts w:ascii="Times New Roman" w:hAnsi="Times New Roman"/>
      <w:sz w:val="24"/>
      <w:szCs w:val="24"/>
      <w:lang w:eastAsia="cs-CZ"/>
    </w:rPr>
  </w:style>
  <w:style w:type="character" w:customStyle="1" w:styleId="ZkladntextChar">
    <w:name w:val="Základní text Char"/>
    <w:basedOn w:val="Standardnpsmoodstavce"/>
    <w:link w:val="Zkladntext"/>
    <w:rsid w:val="002A03FA"/>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rsid w:val="00B43797"/>
    <w:rPr>
      <w:rFonts w:ascii="Cambria" w:eastAsia="Times New Roman" w:hAnsi="Cambria" w:cs="Times New Roman"/>
      <w:b/>
      <w:kern w:val="32"/>
      <w:sz w:val="32"/>
      <w:szCs w:val="20"/>
    </w:rPr>
  </w:style>
  <w:style w:type="table" w:styleId="Mkatabulky">
    <w:name w:val="Table Grid"/>
    <w:basedOn w:val="Normlntabulka"/>
    <w:uiPriority w:val="59"/>
    <w:rsid w:val="00B419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semiHidden/>
    <w:unhideWhenUsed/>
    <w:rsid w:val="00D43E0A"/>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D43E0A"/>
    <w:rPr>
      <w:rFonts w:ascii="Calibri" w:eastAsia="Times New Roman" w:hAnsi="Calibri" w:cs="Times New Roman"/>
    </w:rPr>
  </w:style>
  <w:style w:type="paragraph" w:styleId="Zpat">
    <w:name w:val="footer"/>
    <w:basedOn w:val="Normln"/>
    <w:link w:val="ZpatChar"/>
    <w:uiPriority w:val="99"/>
    <w:unhideWhenUsed/>
    <w:rsid w:val="00D43E0A"/>
    <w:pPr>
      <w:tabs>
        <w:tab w:val="center" w:pos="4536"/>
        <w:tab w:val="right" w:pos="9072"/>
      </w:tabs>
      <w:spacing w:after="0" w:line="240" w:lineRule="auto"/>
    </w:pPr>
  </w:style>
  <w:style w:type="character" w:customStyle="1" w:styleId="ZpatChar">
    <w:name w:val="Zápatí Char"/>
    <w:basedOn w:val="Standardnpsmoodstavce"/>
    <w:link w:val="Zpat"/>
    <w:uiPriority w:val="99"/>
    <w:rsid w:val="00D43E0A"/>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6</Pages>
  <Words>2533</Words>
  <Characters>14951</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JU</Company>
  <LinksUpToDate>false</LinksUpToDate>
  <CharactersWithSpaces>17450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Eliška Mišáková</dc:creator>
  <cp:keywords/>
  <dc:description/>
  <cp:lastModifiedBy>Eliška Mišáková</cp:lastModifiedBy>
  <cp:revision>44</cp:revision>
  <dcterms:created xsi:type="dcterms:W3CDTF">2012-12-27T10:24:00Z</dcterms:created>
  <dcterms:modified xsi:type="dcterms:W3CDTF">2013-04-29T11:06:00Z</dcterms:modified>
</cp:coreProperties>
</file>